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VR.2018.00002 vom 13. Juli 2017</w:t>
      </w:r>
    </w:p>
    <w:p>
      <w:r>
        <w:t>ZH Verwaltungsgericht, 2017-07-13, DE</w:t>
      </w:r>
    </w:p>
    <w:p>
      <w:r>
        <w:rPr>
          <w:b/>
        </w:rPr>
        <w:t xml:space="preserve">Quelle: </w:t>
      </w:r>
      <w:r>
        <w:t>https://mcp.opencaselaw.ch/entscheid/zh_verwaltungsgericht__VR.2018.00002</w:t>
      </w:r>
    </w:p>
    <w:p>
      <w:r>
        <w:t>FR: ZH_VERWALTUNGSGERICHT VR.2018.00002 du 13 juillet 2017</w:t>
      </w:r>
    </w:p>
    <w:p>
      <w:r>
        <w:t>IT: ZH_VERWALTUNGSGERICHT VR.2018.00002 del 13 luglio 2017</w:t>
      </w:r>
    </w:p>
    <w:p>
      <w:pPr>
        <w:pStyle w:val="Heading2"/>
      </w:pPr>
      <w:r>
        <w:t>Regeste</w:t>
      </w:r>
    </w:p>
    <w:p>
      <w:r>
        <w:t>materielle Enteignung Wiederaufnahme von VR.2016.00001 | Wiederaufnahme nach Rückweisung durch das Bundesgericht: Neuverlegung der Kosten und der Parteientschädigung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des vorliegenden Verfahrens sind auf die Gerichtskasse zu nehmen; Parteientschädigungen sind nicht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