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VR.2000.00003 vom 9. Februar 2001</w:t>
      </w:r>
    </w:p>
    <w:p>
      <w:r>
        <w:t>ZH Verwaltungsgericht, 2001-02-09, DE</w:t>
      </w:r>
    </w:p>
    <w:p>
      <w:r>
        <w:rPr>
          <w:b/>
        </w:rPr>
        <w:t xml:space="preserve">Quelle: </w:t>
      </w:r>
      <w:r>
        <w:t>https://mcp.opencaselaw.ch/entscheid/zh_verwaltungsgericht__VR.2000.00003</w:t>
      </w:r>
    </w:p>
    <w:p>
      <w:r>
        <w:t>FR: ZH_VERWALTUNGSGERICHT VR.2000.00003 du 9 février 2001</w:t>
      </w:r>
    </w:p>
    <w:p>
      <w:r>
        <w:t>IT: ZH_VERWALTUNGSGERICHT VR.2000.00003 del 9 febbraio 2001</w:t>
      </w:r>
    </w:p>
    <w:p>
      <w:pPr>
        <w:pStyle w:val="Heading2"/>
      </w:pPr>
      <w:r>
        <w:t>Regeste</w:t>
      </w:r>
    </w:p>
    <w:p>
      <w:r>
        <w:t>Entschädigung für materielle Enteignung | Entschädigung für materielle Enteignung (Zuweisung von Grundstücken zur Freihaltezone): Vorfrage: Die Schätzungskommissionen sind k e i n e gerichtlichen Instanzen im Sinn von Art. 6 EMRK. Auswirkung auf Novenrecht: Neue Tatsachen können vor Verwaltungsgericht geltend gemacht werden (E. 2a). Begriff der materiellen Enteigung (E. 3a), der Auszonung und Nichteinzonung (E. 3b/c). Vorliegend wurde erst 1988 eine bundesrechtskonforme kommunale Bau- und Zonenordnung geschaffen; deshalb stellt die damit verbundene Zuweisung der betroffenen Grundstücke zur kommunalen Freihaltezone eine - grundsätzlich entschädigungslose - Nichteinzonung dar (E. 4a). Es liegen keine besonderen Umstände vor, welche ein Einzonungsgebot begründet hätten: Die Eigentümer hätten die Erschliessung nicht aus eigenen Kräften herbeiführen können, und sie haben auch nicht erhebliche Kosten für die Erschliessung aufgewendet (E. 5a). Die Grundstücke liegen auch nicht im weitgehend überbauten Gebiet (E. 5b). Das Verhalten der Gemeinde verstösst unter den konkreten Umständen nicht gegen Treu und Glauben (E. 5c/aa-bb). Rechtsprechung des Verwaltungsgerichts betreffend Entschädigungspflicht bei Zuweisung von für öffentliche Bauten vorgesehenem Land zur Freihaltezone bzw. zur Zone für öffentliche Bauten (E. 5c/cc). Hier verhält es sich nicht so, dass die Grundstücke, wären sie nicht der Freihaltezone zugewiesen worden, zwingend einer Bauzone hätten zugewiesen werden müssen (E. 5c/dd). Keine rechtsungleiche Behandlung dadurch, dass die Gemeinde von einem Nachbarn freihändig Grundstücke erworben hat (E. 5 c/ee). Ein Sonderopfer liegt nicht vor (E. 6).</w:t>
      </w:r>
    </w:p>
    <w:p>
      <w:pPr>
        <w:pStyle w:val="Heading2"/>
      </w:pPr>
      <w:r>
        <w:t>Erwägungen</w:t>
      </w:r>
    </w:p>
    <w:p>
      <w:r>
        <w:rPr>
          <w:b/>
        </w:rPr>
        <w:t>E. 3</w:t>
      </w:r>
    </w:p>
    <w:p>
      <w:r>
        <w:t>Abteilung/3. Kammer Weiterzug: Dieser Entscheid ist rechtskräftig. Rechtsgebiet: Enteignungsrecht Betreff: Entschädigung für materielle Enteignung Entschädigung für materielle Enteignung (Zuweisung von Grundstücken zur Freihaltezone): Vorfrage: Die Schätzungskommissionen sind k e i n e gerichtlichen Instanzen im Sinn von Art. 6 EMRK. Auswirkung auf Novenrecht: Neue Tatsachen können vor Verwaltungsgericht geltend gemacht werden (E. 2a). Begriff der materiellen Enteigung (E. 3a), der Auszonung und Nichteinzonung (E. 3b/c). Vorliegend wurde erst 1988 eine bundesrechtskonforme kommunale Bau- und Zonenordnung geschaffen; deshalb stellt die damit verbundene Zuweisung der betroffenen Grundstücke zur kommunalen Freihaltezone eine - grundsätzlich entschädigungslose - Nichteinzonung dar (E. 4a). Es liegen keine besonderen Umstände vor, welche ein Einzonungsgebot begründet hätten: Die Eigentümer hätten die Erschliessung nicht aus eigenen Kräften herbeiführen können, und sie haben auch nicht erhebliche Kosten für die Erschliessung aufgewendet (E. 5a). Die Grundstücke liegen auch nicht im weitgehend überbauten Gebiet (E. 5b). Das Verhalten der Gemeinde verstösst unter den konkreten Umständen nicht gegen Treu und Glauben (E. 5c/aa-bb). Rechtsprechung des Verwaltungsgerichts betreffend Entschädigungspflicht bei Zuweisung von für öffentliche Bauten vorgesehenem Land zur Freihaltezone bzw. zur Zone für öffentliche Bauten (E. 5c/cc). Hier verhält es sich nicht so, dass die Grundstücke, wären sie nicht der Freihaltezone zugewiesen worden, zwingend einer Bauzone hätten zugewiesen werden müssen (E. 5c/dd). Keine rechtsungleiche Behandlung dadurch, dass die Gemeinde von einem Nachbarn freihändig Grundstücke erworben hat (E. 5 c/ee). Ein Sonderopfer liegt nicht vor (E. 6). Stichworte: AUSZONUNG EINZONUNGSGEBOT ENTEIGNUNG FREIHALTEZONE MATERIELLE ENTEIGNUNG MEILEN NICHTEINZONUNG SCHÄTZUNGSKOMMISSION SONDEROPFER Rechtsnormen: Art. 26 lit. II BV Art. 30 lit. I BV Art. 6 lit. I EMRK Art. 5 lit. II RPG § 52 lit. II VRG Publikationen: - keine - Gewichtung: (1 von hoher / 5 von geringer Bedeutung) Gewichtung: 3 I. Die Gemeindeversammlung X setzte am 9. März 1988 eine neue Bau- und Zo­nenordnung fest, die durch den Regierungsrat am 16. August 1989 genehmigt wurde. Da­durch wurden die Grundstücke Kat.Nrn. 01, 02, 03 und 04 (früher Kat.Nr. 05 und 06) von ca. 913 m 2 , 1428 m 2 , 1101 m 2 und 1239 m 2 , die gemäss der Bau- und Zonenordnung vom 7. April 1967 in der Wohnzone W 3 gelegen hatten, der kommunalen Freihaltezone zuge­wiesen. Diese Grundstücke bildeten Teil eines zusammen­hängenden grösseren Areals (alt Kat.Nrn. 05-07), auf dem die Rechtsvorgänger der Rekurrenten einen landwirtschaftlichen Betrieb geführt hatten. Der übrige Bereich dieses Areals wurde teils der damals neu ausge­schiedenen Re­servezone Geisshalden/Vorrain (ca. 7'600 m 2 aus alt Kat.Nr. 06), teils der Wohnzone W 3 (Flächen aus alt Kat.Nrn. 05-07) zugewiesen. Das Areal der Rekurrenten bzw. ihrer Rechtsvorgänger grenzte 1988 unmittelbar an das ausgedehnte Sportplatzge­lände Allmend/Ormis der Gemeinde, das schon damals in der Zone für öffentliche Bauten ge­mäss BZO 1967 lag. In den Jahren 1987 bis 1993 führten die Eigentümer, I, A, C und D Verhandlungen mit der Gemeinde über einen Kauf oder Tausch der Grundstücke, die jedoch wegen der unterschiedlichen Vorstellungen der Par­teien scheiterten. Die Gemeindeversammlung setzte am 24. Januar 1995 eine vom Regierungsrat am 9. August 1995 genehmigte neue Bau- und Zonenordnung fest, womit die 1988 der Frei­haltezone zugewiesenen Grundstücke Kat.Nrn. 01, 02, 03 und 04 der Zone für öffentliche Bauten zugewiesen wurden. Die 1988 der Zone W 3 55% zugeteilten Grundstücke der heutigen Rekurrenten bzw. ihrer Rechtsvorgänger wur­den nunmehr der Zone W 2.2 zuge­teilt; diese Parzellen (neu Kat.Nrn. 11 und 13-19) sind nach Abbruch des alten Wohnhau­ses und Ökonomiegebäu­des mit Mehrfamilienhäusern überbaut worden. Die 1988 der Re­servezone zugeteilten Grundstücke verblieben in dieser Zone. II. Bereits mit Eingabe vom 22. Juni 1995 hatten die Eigentümer den Gemeinderat um Zusprechung einer Entschädigung wegen materieller Enteignung, welche durch die 1988 vollzogene Umzonung in die kommunale Freihaltezone bewirkt worden sei, ersucht; eventualiter beantragten sie, die Grundstücke im Rahmen der pendenten Zonenplanrevision in die Zone W 2.2 zurückzuzonen. Anlässlich einer Verhandlung vom 29. August 1995 einigte man sich darauf, das Entschädigungsbegehren einstweilen zurückzustellen und das Umzonungsbegehren der Ortsplanungskommission zu überweisen. Am 24. März 1997 lehnte es die Gemeindeversammlung entsprechend dem Antrag des Gemeinderats und in Ablehnung des Änderungsbegehrens der Grundeigentümer ab, die 1995 der Zone für öf­fentliche Bauten zugeteilten Grundstücke Kat.Nrn. 01, 02, 03 und 04 in die Zone W 2.2 zurückzuzonen. Am 18. September 1997 kamen die Parteien überein, das Schätzungsverfahren ein­zuleiten. Auf entsprechendes Begehren des Gemeinderats vom 2. Dezember 1997 überwies das Statthalteramt X die Akten der Schätzungskommission II. III. An der mit einem Augenschein verbundenen Schätzungsverhandlung vom 17. April 1998 bestritt die Gemeinde als Klägerin eine Entschädigungspflicht, während die Eigentümer an ihrem Entschädigungsbegehren festhielten. Die Parteien kamen überein, das Verfahren im Hinblick auf weitere Verhandlungen zu sistieren. Nachdem der Gemeinderat am 24. August 1999 den Abbruch der Verhandlungen mitgeteilt hatte, wurde das Schät­zungsverfahren wieder aufgenommen. In der Folge zog die Schätzungskommission II Hand­änderungstabellen mit Übersichtsplänen sowie Unterlagen zu den von den Parteien geführten Kaufverhandlungen bei, wozu sich die Parteien mit Eingaben vom 10. Januar 2000 äusserten. Die Schätzungskommission II beschloss am 28. März 2000, in Gutheissung der Klage werde festgestellt, dass die Festsetzung der kommunalen Freihaltezone "Auf der Halten" hinsichtlich der Grundstücke Kat.Nrn. 01, 02, 03 und 04 keinen enteignungsähnli­chen Tatbestand darstelle und hierfür keine Entschädigung geschuldet sei. Die Kosten des Schätzungsverfahrens wurden der Klägerin auferlegt. IV. Mit Eingabe vom 15. August 2000 meldeten die Eigentümer beim Verwal­tungsgericht Rekurs gegen den Schätzungsentscheid an. Mit Rekursschrift vom 11. Sep­tember 2000 beantragten sie dem Gericht, in Aufhebung des Schätzungsentscheids sei fest­zustellen, dass die Zuweisung der vier Grundstücke zur kommunalen Freihaltezone eine materielle Enteignung bewirkt habe und hierfür seitens der Gemeinde eine angemessene Entschädigung einschliesslich Verzugszinsen geschuldet sei; zur Festsetzung dieser Ent­schädigung sei die Sache an die Schätzungskommission II zurückzuweisen; eventualiter ersuchten sie darum, den Entschädigungsbetrag nach einem Zwischenentscheid über die Entschädigungspflicht und nach einem weiteren Schriftwechsel zur Entschädigungshöhe im verwaltungsgerichtlichen Verfahren festzusetzen; alles unter Kosten- und Entschädi­gungsfolgen zulasten der Rekursgegnerin. Die Schätzungskommission II verzichtete mit Schreiben vom 4. Oktober 2000 auf eine Vernehmlassung. Die Gemeinde X beantragte dem Gericht am 8. November 2000 (berichtigt am 8. November 2000), den Rekurs abzuweisen und den Schätzungsentscheid zu bestätigen; eventuell – falls die Entschädigungspflicht bestätigt werde – sei die Sache zur Festsetzung der Entschädigung an die Vorinstanz zurückzuweisen und der Rekursgegnerin das Eigen­tum an den Grundstücken Kat.Nrn. 01 – 04 zuzusprechen. Nachdem den Rekurrenten mit dem Hinweis, dass ein zweiter Schriftenwechsel nicht angeordnet worden sei, die Rekursantwort zugestellt worden war, ersuchten sie mit Eingabe vom 28. November 2000 das Verwaltungsgericht, gleichwohl einen zweiten Schriftenwechsel durchzuführen, der auf die drei "Themata des Novenrechts gemäss § 52 VRG bzw. die Qualifikation der Schätzungskommission gestützt auf Art. 6 Ziffer 1 EMRK, den Verfahrensgegenstand und die Sachverhaltsirrtümer des Rekursgegners" zu beschränken sei; die vorliegende Eingabe sei als Replik entgegenzunehmen. Zur Begrün­dung führten sie unter anderem an, entgegen der in der Rekursantwort geäusserten Auffas­sung seien die in der Rekursschrift vorgebrachten neuen Tatsachen gestützt auf § 52 Abs. 2 VRG zu berücksichtigen, weil es sich bei der Schätzungskommission nicht um eine ge­richtliche Instanz handle. Das Verwaltungsgericht führte am 22. Januar 2001 bei den Grundstücken der Re­kurrenten unter Mitwirkung der Parteien einen Augenschein durch. Das Verwaltungsgericht zieht in Erwägung: 1. Das Verwaltungsgericht ist zur Beurteilung des vorliegenden Rekurses nach § 46 Abs. 1 des Abtretungsgesetzes vom 30. November 1879 in der Fassung vom 8. Juni 1997 (AbtrG) zuständig. Da auch die übrigen Sachurteilsvoraussetzungen erfüllt sind, ist auf die Beschwerde einzutreten. 2. Das Verfahren richtet sich nach den Bestimmungen über die Beschwerde gemäss dem Verwaltungsrechtspflegegesetzes vom 24. Mai 1959/8. Juni 1997 (VRG), d.h. nach §§ 50 ff. VRG (Alfred Kölz/Jürg Bosshart/Martin Röhl, Kommentar zum Verwaltungs­rechtspflegegesetz des Kantons Zürich, 2. A., Zürich 1999, § 41 N. 38 ff.; RB 1998 Nr. 44 = BEZ 1998 Nr. 23). a) Gemäss § 52 Abs. 2 VRG sind im Beschwerdeverfahren neue Tatsachenbehaup­tungen nur dann unbeschränkt zulässig, wenn das Verwaltungsgericht als erste gerichtliche Instanz entscheidet (Kölz/Bosshart/Röhl, § 52 N. 11). Im Hinblick auf den Umfang des Novenrechts im vorliegenden Verfahren fragt es sich daher, ob es sich bei der Schätzungs­kommission um eine gerichtliche Instanz handelt. Nach der Rechtsprechung zu Art. 6 Abs. 1 der Europäischen Menschenrechtskon­vention (vgl. auch Art. 30 Abs. 1 der Bundesverfassung vom 18. April 1999, BV, bzw. Art. 58 Abs. 1 der Bundesverfassung vom 29. Mai 1874/14. September 1969, aBV) ist ein Gericht eine Behörde, die nach Gesetz und Recht in einem justizförmigen, fairen Verfahren begründete und bindende Entscheidungen über Streitfragen trifft. Sie braucht nicht in die ordentliche Gerichtsstruktur eines Staates eingegliedert zu sein, aber sie muss organisato­risch und personell, nach der Art ihrer Ernennung, der Amtsdauer, dem Schutz vor äusse­ren Beeinflussungen und nach dem äusseren Erscheinungsbild unabhängig und unpartei­isch sein, sowohl gegenüber anderen Behörden als auch gegenüber Parteien (BGE 123 I 87 E. 4a S. 91 mit zahlreichen Hinweisen; vgl. auch BGE 124 I 255 E. 5b S. 263 ff.). Im Kanton Zürich bestehen für Enteignungs- und gewisse Beitragsstreitigkeiten vier Schätzungskommissionen, von denen jede für einen mehrere Bezirke umfassenden Kreis örtlich zuständig ist. Jeder Kommission gehören drei Mitglieder und zwei Ersatzmit­glieder an. Deren Wahl obliegt dem Verwaltungsgericht, das auch die Aufsicht über die Kommissionen ausübt (§§ 32-35 AbtrG). Das Verfahren richtet sich nach §§ 38-42 AbtrG sowie nach der vom Verwaltungsgericht erlassenen Verordnung vom 24. November 1960 (SchätzV). Es bleibt auch nach der Gesetzesrevision vom 8. Juni 1997, welche lediglich den Weiterzug an das Verwaltungsgericht neu geregelt hat, ein Klageverfahren. Es wird durch den stets in der Rolle des Klägers auftretenden Exproprianten mit einem entspre­chenden Gesuch an das Statthalteramt eingeleitet, welches die Akten der zuständigen Schätzungskommission übermittelt. Diese führt mit den Parteien eine mündliche Ver­handlung, zumeist verbunden mit einem Augenschein durch. Sie kann auch vor oder nach der Verhandlung einen oder mehrere Schriftenwechsel durchführen (vgl. zum Ganzen Kölz/Bosshart/Röhl, § 19 N. 122). Die Schätzungskommissionen sind in ihrer Rechtsprechung unabhängig (Tobias Jaag, Verwaltungsrecht des Kantons Zürich, 2. A., Zürich 1999, Rz. 2637). Das Verwal­tungsgericht kann daher als Aufsichtsinstanz nur allgemeine Weisungen erteilen. Ihr Ent­scheid stellt ein rechtskräftiges Urteil dar, soweit er nicht mit Rekurs an das Verwaltungs­gericht angefochten wird (§ 42 Abs. 2 AbtrG). - Trotz ihrer Unabhängigkeit in der Recht­sprechung bestehen Bedenken, die Schätzungskommissionen als richterliche Instanzen im Sinn von Art. 6 Abs. 1 EMRK und Art. 30 Abs. 1 BV gelten zu lassen (Kölz/Bosshart/ Röhl, § 4 N. 26, § 19 N. 87). Die Wahl ihrer Mitglieder erfolgt durch das Verwaltungsge­richt, das im Streitfall ihre Entscheide zu überprüfen hat. Zu förmlichen Zeugenverneh­mungen sind die Schätzungskommissionen nicht befugt (§ 15 Abs. 2 Satz 2 SchätzV). Von ihrer gesetzlichen Regelung her, die anlässlich der Revision vom 8. Juni 1997 in den Grundzügen beibehalten wurde, sind sie als Organe mit Fachleuten für Schätzungsfragen, nicht als richterliche Instanz zur Entscheidung komplexer Rechtsfragen konzipiert.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