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VR.2000.00001 vom 21. Juni 2001</w:t>
      </w:r>
    </w:p>
    <w:p>
      <w:r>
        <w:t>ZH Verwaltungsgericht, 2001-06-21, DE</w:t>
      </w:r>
    </w:p>
    <w:p>
      <w:r>
        <w:rPr>
          <w:b/>
        </w:rPr>
        <w:t xml:space="preserve">Quelle: </w:t>
      </w:r>
      <w:r>
        <w:t>https://mcp.opencaselaw.ch/entscheid/zh_verwaltungsgericht__VR.2000.00001</w:t>
      </w:r>
    </w:p>
    <w:p>
      <w:r>
        <w:t>FR: ZH_VERWALTUNGSGERICHT VR.2000.00001 du 21 juin 2001</w:t>
      </w:r>
    </w:p>
    <w:p>
      <w:r>
        <w:t>IT: ZH_VERWALTUNGSGERICHT VR.2000.00001 del 21 giugno 2001</w:t>
      </w:r>
    </w:p>
    <w:p>
      <w:pPr>
        <w:pStyle w:val="Heading2"/>
      </w:pPr>
      <w:r>
        <w:t>Regeste</w:t>
      </w:r>
    </w:p>
    <w:p>
      <w:r>
        <w:t>Entschädigung für materielle Enteignung | Bewirken Freiflächen, mit denen der Kernzone zugeteilte Grundstücke zum Schutz von benachbarten Gebäuden belegt wurden, eine materielle Enteignung? Das Verfahren richtet sich nach den Bestimmungen über die Beschwerde gemäss §§ 50 ff. VRG (E. 1a). Auf einen Augenschein kann verzichtet werden (E. 1b). Massgeblicher Zeitpunkt für die Beurteilung, ob eine materielle Enteignung vorliegt, ist der 16. November 1985 (E. 2a). Es liegt keine materielle Enteignung vor, wenn sich ein Bauverbot nur auf einen kleinen Teil einer Parzelle bezieht und der Eigentümer den Rest noch bestimmungsgemäss nutzen kann. Die Grenze liegt im Bereich zwischen 35 und 45 %. Dabei sind mehrere Parzellen, die sich nur zusammen nutzen lassen, als Eiheit zu betrachten, während grosse Grundstücke, die verschiedenartige, nicht in engerem Zusammenhang stehende Teile umfassen, entsprechend aufzuteilen sind (E. 3a). Dem mit einer Freifläche belegten Teil des einen Grundstücks kommt selbständiger Charakter zu (E. 3b). Auch der betroffene Teil des zweiten Grundstücks ist gesondert zu betrachten, da es von einer anderen planerischen Massnahme betroffen ist als die anderen Teile und das Grundstück eher zufällig zusammenhängende Bereiche mit unterschiedlicher Ausrichtung umfasst (E. 3c). Die Grundsätze über die Nichteinzonung sind anwendbar (E. 4a). Eine Nichteinzonung stellt nur ausnahmsweise eine materielle Enteignung dar (E. 4b). Vorliegend fragt sich, ob die betroffenen Parzellenteile am Stichtag zum weitgehend überbauten Gebiet zählten (E. 4c). Beide Grundstücksteile gehören dem Dorfkern und deshalb dem weitgehend überbauten Gebiet an (E. 5c). Es lagen keine besonderen Umstände vor, die gegen eine Einzonung sprachen (E. 5d). Die Entschädigung bemisst sich aufgrund des Verkehrswerts mit bzw. ohne den fraglichen Eingriff. Die Werte sind anhand von Vergleichspreisen zu ermitteln. Massgeblicher Zeitpunkt ist das Inkrafttreten der Eigentumsbeschränkung (E. 6a). Das Verwaltungsgericht hat das Ermessen der Schätzungskommission zu respektieren (E. 6b). Es ist sachgerecht, Handänderungen sehr kleiner Parzellen und von an Autobahn oder Bahnlinie gelegenen Grundstücken nicht zu berücksichtigen (E. 6c). Die Schätzungskommission hat den 1985 verzeichneten Höhepunkt der Preisentwicklung zu wenig berücksichtigt (E. 6d). Die Abzüge für Baueinschränkungen in der Kernzone und den Restlandwert sind gerechtfertigt (E. 6e). BGE-Nr. 1A.159/2001</w:t>
      </w:r>
    </w:p>
    <w:p>
      <w:pPr>
        <w:pStyle w:val="Heading2"/>
      </w:pPr>
      <w:r>
        <w:t>Erwägungen</w:t>
      </w:r>
    </w:p>
    <w:p>
      <w:r>
        <w:rPr>
          <w:b/>
        </w:rPr>
        <w:t>E. 3</w:t>
      </w:r>
    </w:p>
    <w:p>
      <w:r>
        <w:t>a) Die Eigentumsgarantie als Wertgarantie gewährleistet nicht, dass eine Bauland­parzelle dauernd bestmöglich ausgenutzt werden kann. Der Eigentümer hat vielmehr Be­schränkungen der Nutzung in dem Umfang entschädigungslos hinzunehmen, als ihm noch ein wirtschaftlich sinnvoller, bestimmungsgemässer Gebrauch seines Landes erhalten bleibt (BGr, 23. Mai 1995, ZBl 98/1997, S. 179 E. 5b). Daher ist eine materielle Enteig­nung zu verneinen, wenn sich ein Bauverbot lediglich auf einen kleinen Teil einer Parzelle erstreckt und der Eigentümer die restliche Fläche noch bestimmungsgemäss baulich nutzen kann. Nach der bundesgerichtlichen Rechtsprechung löst ein Baulandverlust von bis zu gut einem Drittel in der Regel noch keine Entschädigungspflicht aus (BGer, 14. Dezember 1983, ZBl 85/1984, S. 366 E. 2b). Das Verwaltungsgericht geht davon aus, dass ein Bau­verbot auf 40% der Gesamtfläche in der Regel eine materielle Enteignung darstellt. Aller­dings betrachtet es diese Zahl lediglich als Mittelwert. Namentlich innerhalb der Band­brei­te von 35-45% Baulandverlust ist auf Grund der konkreten Verhältnisse zu beurteilen, ob eine materielle Enteignung vorliegt (RB 1997 Nr. 118). Es ist allerdings zu beachten, dass Grundstücksgrenzen oft zufällig verlaufen und sich der Umfang eines Bauverbots deshalb nicht ohne Weiteres parzellenweise bestimmen lässt. Andernfalls würde der Eigentümer mehrerer zusammenhängender Kleinparzellen ge­genüber einem solchen eines grossen Grundstücks in ungerechtfertigter Weise besser ge­stellt. Die Rechtsprechung verlangt daher eine Gesamtbetrachtung des von einer Eigen­tums­beschränkung betroffenen Grundbesitzes. So sind mehrere Parzellen, die sich nur zu­sammen baulich nutzen lassen, bei der Beurteilung des Masses des Baulandverlusts zusam­men zu betrachten. Umgekehrt ist bei grossen Grundstücken, die verschiedenartige, in kei­nem engeren Zusammenhang stehende Flächen umfassen, bei der Beurteilung des Umfangs des Eigentumseingriffs lediglich der davon betroffene Teil des Areals ins Auge zu fassen (BGE 89 I 381 E. 2; BGr, 21. August 1996, ZBl 98/1997, S. 368 E. 3; RB 1997 Nr. 117). b) Die Schätzungskommission hat es abgelehnt, bei der Würdigung der auf der Par­zelle Kat.-Nr. 01 festgesetzten Freifläche auch die angrenzenden überbauten Grundstü­cke miteinzubeziehen, da dem fraglichen Grundstücksteil eine eigenständige Bedeutung zu­kom­me. Die rekurrierende Gemeinde stellt diese Ansicht zu Unrecht in Frage. Dem mit der Freifläche belegten Teil der Parzelle Kat.-Nr. 01 kommt angesichts seiner Grösse und Lage durchaus ein selbständiger Charakter zu. Insbesondere lässt er sich ohne Inan­spruchnahme und Beeinträchtigung der benachbarten Grundstücke überbauen. Der nicht von der Frei­fläche erfasste Teil des Grundstücks Kat.-Nr. 01 liegt in der Freihaltezone. Mit Bezug auf diese Parzelle kann eine materielle Enteignung daher nicht mit Blick auf noch verbleibende Nutzungsmöglichkeiten verneint werden. c) Bei der Parzelle Kat.-Nr. 02 hat die Schätzungskommission dagegen eine Ge­samt­betrachtung angestellt und festgehalten, dass die fragliche Freifläche nur einen sehr kleinen Teil des Grundstücks beschlage. Der weitaus grösste Teil der Parzelle sei 1985 einer Wohn­­zone in empfindlichem Gebiet (W1E) und 1995 dem Gestaltungsplangebiet O zuge­wiesen worden. Auch ohne genaue Berechnungen stehe fest, dass der grösste Teil des Lan­des damit weiterhin überbaubar geblieben sei und eine materielle Enteignung schon des­halb ausser Betracht falle. Der private Rekurrent kritisiert diese Auffassung und ver­langt eine Betrachtung des gesamten Grundbesitzes seiner Rechtsvorgängerin. Diese zeige, dass die kommunale Nutzungsplanung im Jahre 1985 mehr als die Hälfte ihres Lan­des im Ge­biet O der Freihaltezone zugewiesen habe. Damit sei die für die Annahme einer mate­riel­len Enteignung erforderliche Eingriffsintensität längst erreicht. Beiden erwähnten Auffassungen kann im Licht der erwähnten Rechtsprechung nicht gefolgt werden. Zunächst geht es nicht an, den gesamten Grundbesitz der Rechtsvorgänge­rin als Grundlage für die Beurteilung der Eigentumsbeschränkung heranzuziehen. Denn dieser umfasst sehr unterschiedliche Flächen, die wirtschaftlich ohne Weiteres unterschied­lichen Nutzungen zugeführt werden können und überdies nicht von ein und derselben pla­nerischen Massnahme betroffen sind, wie dies für eine Gesamtbetrachtung erforderlich wäre. Wie ein Blick auf den Grundbuch- und Zonenplan zeigt, ist aber auch eine Gesamt­betrachtung der im Jahr 1985 62'515 m 2 messenden Parzelle Kat.-Nr. 02 verfehlt. Diese umfasst mehrere selbständige Teile, die eher zufällig zusammenhängen. So zählt der südli­che Teil, der sich in der Bauzone befindet, zum Gebiet des O. Er ist gegen den See hin aus­gerichtet und wird durch die Z-strasse erschlossen. Demgegenüber gehört der nördliche, mit der fraglichen Freifläche belegte Grundstücksteil zum Dorfkern, und eine Erschlies­sung hätte hier von der Dorfstrasse her zu erfolgen. Bei dieser Sachlage ha­ben bei der Be­ur­teilung der im nördlichen Bereich festgesetzten Freifläche die im südli­chen Teil ver­blei­benden Nutzungsmöglichkeiten ausser Betracht zu bleiben. Es verhält sich gleich wie in dem vom Bundesgericht beurteilten Fall, in dem ein grosses Grundstück so­wohl die west­liche, gegen einen See abfallende als auch die östliche Seite eines Hügels umfasste. Als die westliche Seite mit einem Bauverbot belegt worden war und der Grund­eigentümer deshalb eine Entschädigung aus materieller Enteignung verlangte, lehnte es das Bundesgericht ab, der vom Bauverbot betroffenen westlichen Seite die östliche gegenüber­zustellen, auf der weiterhin gebaut werden konnte (BGE 89 I 381 E. 3). Die Freiflächenfestsetzung erreicht demnach auch mit Bezug auf die Parzelle Kat.-Nr. 02 die für die Annahme einer materiellen Enteignung erforderliche Eingriffsintensi­tät.</w:t>
      </w:r>
    </w:p>
    <w:p>
      <w:r>
        <w:rPr>
          <w:b/>
        </w:rPr>
        <w:t>E. 4</w:t>
      </w:r>
    </w:p>
    <w:p>
      <w:r>
        <w:t>a) Die Schätzungskommission hat die fraglichen Freiflächenfestsetzungen als Nichteinzonungen im Sinn der bundesgerichtlichen Rechtsprechung qualifiziert. Obwohl die umstrittenen Flächen der Kernzone und damit einer Bauzone (§§ 47 f. des Planungs- und Baugesetzes vom 7. September 1975 [PBG]) zugewiesen wurden, kommt die gleich­zeitige Festlegung einer Freifläche in ihrer Wirkung einer Nichtbauzone gleich. Es recht­fertigt sich daher, die getroffenen Planungsmassnahmen entschädigungsrechtlich gleich zu beurteilen wie die Zuweisung zu einer Nichtbauzone (BGE 121 II 417 E. 3). Im Übrigen ist es unbestritten, dass die Bau- und Zonenordnung aus dem Jahr 1985 die erste kommunale Nutzungsplanung darstellte, die unter der Herrschaft des eidgenössi­schen Raumplanungsgesetzes vom 22. Juni 1979 (RPG) erlassen wurde. Eine Zuweisung von Land zu einer Nichtbauzone, die im Rahmen des Wechsels von einer Bau- und Zonen­ordnung aus der Zeit vor dem Inkrafttreten des RPG zu einer auf diesem Gesetz beruhen­den Ordnung erfolgt, gilt nach der Rechtsprechung des Bundesgerichts generell als Nicht­einzonung (BGE 125 II 431 E. 3b; 123 II 481 E. 6b; 122 II 326 E. 5c). Das Vorliegen einer materiellen Enteignung ist daher im vorliegenden Fall nach den Grundsätzen zu beurteilen, welche die Rechtsprechung für Nichteinzonungen aufgestellt hat. Die Parteien gehen grundsätzlich ebenfalls von dieser Rechtslage aus. Der private Re­kurrent stellt sich allerdings im Rahmen einer Eventualbegründung auf den Standpunkt, die Festlegung der Freiflächen sei als Auszonung anzusehen. Das ergebe sich daraus, dass die umstrittenen Teilparzellen in einem ersten Schritt der Kernzone zugewiesen und damit ein­gezont worden seien. In einem zweiten Schritt sei dann die bauliche Nutzung durch die Festsetzung einer Freifläche wieder eingeschränkt worden, was eine Auszonung darstelle. Diese Argumentation überzeugt nicht. Sie übersieht, dass die Ausscheidung der Freiflächen in den Jahren 1985 und 1995 durch Kernzonenpläne erfolgte, die Teil der Bau- und Zonen­ordnungen bildeten (Art. 2 der Bauordnung vom 12. Februar 1985; Ziff. 1.1 Abs. 1 der Bauordnung vom 4. April 1995). Es wurde auf den Parzellen Kat.-Nrn. 01 und 02 in einem Zug eine Kernzone und eine diese überlagernde Freifläche festgesetzt. Die beiden Fest­set­zungen sind damit aufeinander bezogen und deshalb in entschädigungsrechtlicher Hinsicht als Einheit zu betrachten. b) Die Nichteinzonung in eine Bauzone bei der erstmaligen Schaffung einer raumpla­nerischen Grundordnung, welche den verfassungsrechtlichen und gesetzlichen Anforderun­gen entspricht, löst grundsätzlich keine Entschädigungspflicht aus. Sie trifft nur ausnahms­weise den Eigentümer enteignungsähnlich, etwa dann, wenn er überbaubares oder grob er­schlossenes Land besitzt, das von einem gewässerschutzrechtskonformen Generellen Kana­lisationsprojekt erfasst wird, und wenn er für die Erschliessung und Überbauung seines Lan­­des schon erhebliche Kosten aufgewendet hat, wobei diese Voraussetzungen in der Re­gel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(Art. 15 lit. a RPG) befindet. Sol­che Umstände hätten möglicherweise eine Einzonung gebieten können, so dass der Eigen­tümer am massgebenden Stichtag mit hoher Wahrscheinlichkeit mit einer aus eigener Kraft realisierbaren Überbauung seines Landes rechnen durfte (BGE 125 II 431 E. 4a). c) Im vorliegenden Fall ist allein umstritten, ob sich eine Entschädigungspflicht dar­aus ergebe, dass die beiden mit einer Freifläche belegten Parzellenteile am Stichtag zum weitgehend überbauten Gebiet im Sinn von Art. 15 lit. a RPG zählten. Ein anderer Tatbe­stand, der bei Nichteinzonungen eine materielle Enteignung begründen könnte, steht nicht zur Diskussion.</w:t>
      </w:r>
    </w:p>
    <w:p>
      <w:r>
        <w:rPr>
          <w:b/>
        </w:rPr>
        <w:t>E. 5</w:t>
      </w:r>
    </w:p>
    <w:p>
      <w:r>
        <w:t>a) Der Begriff des weitgehend überbauten Gebiets nach Art. 15 lit. a RPG umfasst im Wesentlichen den geschlossenen Siedlungsbereich und eigentliche Baulücken innerhalb dieses Bereichs. Zu den Letzteren zählen einzelne unüberbaute Parzellen, die unmittelbar an das überbaute Land grenzen, in der Regel bereits erschlossen sind und eine relativ ge­ringe Fläche aufweisen. Die Nutzung der Baulücke wird vorwiegend durch ihre Umgebung geprägt. Das unüberbaute Land muss also zum geschlossenen Siedlungsbereich gehören, an der Siedlungsqualität teilhaben und von der bestehenden Überbauung so stark geprägt sein, dass sinnvollerweise nur ihre Aufnahme in die Bauzone in Frage kommt. Der Begriff der weitgehenden Überbauung ist somit nach der Rechtsprechung gebietsbezogen, Parzel­len übergreifend zu verstehen. Der vorhandene Zustand auf einem Grundstück ist in seiner Gesamtheit und in seinem Zusammenhang mit den Verhältnissen auf benachbarten Parzel­len zu betrachten. Der Siedlungscharakter ist vor allem auf Grund der Nähe der Häuser so­wie der vorhandenen Infrastruktur zu beurteilen. Peripher gelegene Flächen, denen im Ver­hältnis zu dem sie umgebenden Land eine eigenständige Bedeutung zukommt, sind nicht als weitgehend überbautes Gebiet zu betrachten, selbst wenn dort eine gewisse Bautätigkeit eingesetzt hat. Dasselbe gilt für grössere Baulücken in besiedeltem Gebiet, die der Auflo­ckerung der Siedlungsstrukturen, der Erhöhung der Wohnqualität durch Grünflächen (Art. 1 Abs. 2 lit. b und Art. 3 Abs. 3 lit. e RPG) und der Schaffung von Freizeitbereichen (Art. 3 Abs. 4 lit. b RPG) dienen. Ihnen kommt eine eigenständige Funktion zu, und sie werden nicht von der sie umgebenden Überbauung mitgeprägt (BGE 121 II 417 E. 5a). b) Die Schätzungskommission gelangte gestützt auf diese Kriterien zum Schluss, dass wohl der mit einer Freifläche belegte Teil der Parzelle Kat.-Nr. 01, aber nicht jener des Grundstücks Kat.-Nr. 02 zum weitgehend überbauten Gebiet zähle. So liege das zu­erst genannte Landstück im relativ dicht überbauten oberen Teil des Dorfkerns von X. Ausser­dem liege das Land zwischen zwei alten, unter Schutz gestellten Bauten, und es sei in die­sem Bereich auch die andere Strassenseite durchgehend überbaut. Demgegen­über bilde die auf der Parzelle Kat.-Nr. 02 festgesetzte Freifläche Teil des unteren Dorf­kerns, in dem neuere Gebäude fehlten und die unüberbauten Flächen überwögen. Da die Freifläche zu­dem an einen unüberbauten Teil einer Liegenschaft auf der Hangkante mit prächtiger See­sicht grenze, überwiege der nicht überbaute Charakter des Umfelds. Von einer Baulücke könne daher nicht gesprochen werden. c) Wie aus den bei den Akten liegenden Plänen hervorgeht, umfassen die beiden Frei­flächen auf den Parzellen Kat.-Nrn. 01 und 02 zwei noch unüberbaut gebliebene Land­stücke in der ersten Bautiefe südlich der Dorfstrasse. Es handelt sich um zwei Zwi­schen­räume im Rahmen der sich der Dorfstrasse entlang ziehenden Häuserreihe. Die Frei­fläche auf der Parzelle Kat.-Nr. 02 grenzt ihrerseits an eine weitere noch grössere Frei­fläche auf dem Grundstück Kat.-Nr. 08, auf dem sich das M-Haus befindet. Die Bebauung entlang der Dorfstrasse von der Kirche zum M-Haus bildet den alten Dorfkern von X. Auch wenn die Dichte im oberen Bereich bei der Kirche grösser ist als am unteren Ende beim M-Haus, prägen die Bauten doch den ganzen Bereich der Dorfstrasse. Die sich in den Akten be­find­lichen Fotos zeigen, dass es sich zum Teil um markante grössere Bauten handelt. Die beiden mit Freiflächen belegten Teile der Parzellen Kat.-Nrn. 01 und 02 sind un­bestrittenermassen voll erschlossen und baureif. Sie reihen sich als Zwischenräume in die vorhandene Überbauung ein und erscheinen so gesehen als typische Baulücken. Die­ser Betrachtungsweise hält die Gemeinde X allerdings entgegen, die Freiflächen bildeten Teil des südlich an den Dorfkern anschliessenden unüberbauten Gebiets und stell­ten deshalb keine Baulücken dar. In der Tat fällt auf, dass in X der Dorfkern im Sü­den direkt an ein grösseres Naherholungsgebiet angrenzt. Es fragt sich daher, ob die frag­lichen Freiflächen in den noch unüberbauten Zwischenräumen entlang der Dorfstrasse zur Hauptsache von der in diesem Bereich vorhandenen Bebauung oder vom angrenzenden Naherholungsgebiet geprägt werden. Die Gemeinde hat die beiden umstrittenen Parzellenteile der Kernzone zugewiesen und damit zum Ausdruck gebracht, dass sie dieses Land zum Dorfkern von X zählt. Diese Beurteilung erscheint im Blick auf die bereits dargestellte vorhandene Über­bauung mit mehreren markanten, unter Schutz gestellten historischen Bauten ohne Weite­res sach­ge­recht. Wenn die Gemeinde in ihrem Rekurs demgegenüber die Zugehörigkeit der Frei­flä­chen zum südlich angrenzenden Naherholungsgebiet betont, widerspricht sie ihrer eige­nen Planung. Ihre Argumentation ist aber auch insofern widersprüchlich, als sie die Be­deutung der Freiflächen als Umschwung für die unter Schutz stehenden Bauten hervor­hebt und dar­aus ihre Nichtzugehörigkeit zum weitgehend überbauten Gebiet ableiten will. Wenn die Freiflächen dem Umgebungsschutz der Bauten dienen, belegt dies gerade, dass sie durch die vorhandenen Bauten mitgeprägt werden und sie daher zum weitgehend über­bauten Ge­biet gehören. Entgegen der Ansicht der Schätzungskommission spielt auch keine Rolle, dass im Bereich der Parzelle Kat.-Nr. 02 die vorhandene Überbauung etwas weni­ger dicht ist und auf dem benachbarten Grundstück mit dem M-Haus ebenfalls eine Freifläche fest­gesetzt wurde. Der obere und der untere Dorfteil hängen baulich offen­kundig zusam­men und sind nicht durch einen unüberbauten Bereich voneinander getrennt. Dementspre­chend ist der ganze Bereich entlang der Dorfstrasse zum weitgehend überbau­ten Gebiet zu rech­nen. Dass auch der mit einer Freifläche belegte Teil der Parzelle Kat.-Nr. 02 zum Sied­lungsbereich zählt, belegt im Übrigen seine Zuweisung zur Kernzone. d) Bildeten die fraglichen Grundstücksteile am Stichtag somit Teil des weitgehend überbauten Gebiets im Sinn von Art. 15 lit. a RPG, so durften die Eigentümer mit der Ein­zonung ihres Landes rechnen, und ihre Nichteinzonung löst grundsätzlich eine Entschädi­gungspflicht aus. Anders verhielte es sich nur dann, wenn wegen der besonderen Lage oder Beschaffenheit des Grundstücks mit Blick auf die Ziele und Grundsätze der Raumplanung (Art. 1, 3, 15 ff. RPG) eine Einzonung am Stichtag offensichtlich nicht in Frage gekommen wäre und der Grundeigentümer dies erkennen konnte (BGE 121 II 417 E. 6a). Solche besonderen Umstände, die erkennbar einer Einzonung entgegenstanden, sind im vorliegenden Fall nicht ersichtlich. Wohl mag die Ausscheidung von Freiflächen an der Dorfstrasse zum Schutz des Umfelds der historischen Bauten wünschbar erscheinen. Doch hätte dem Umgebungsschutz auch bei einer Überbauung in ausreichendem Mass Rechnung getragen werden können. Die Schätzungskommission hat festgestellt, dass die Bauernhäu­ser und Scheunen entlang der Dorfstrasse keineswegs zwingend einen so grossen Um­schwung benötigten, wie er mit den ausgeschiedenen Freiflächen sichergestellt werde. Die Gemeinde macht gegenüber dieser Beurteilung einzig geltend, die fraglichen Grundstücks­teile lägen nicht im eigentlichen Dorfkern, sondern am Rand des Kernzonengebiets, wes­halb hier ein grösserer Umschwung erforderlich sei. Dieser Einwand überzeugt nicht, nach­dem die Gemeinde mit der Zuweisung des fraglichen Landes zur Kernzone kundgetan hat, dass sie es zum Dorfkern zählt. Da für einen solchen eine dichte Überbauung typisch ist, mussten die Grundeigentümer nicht damit rechnen, dass ihr zum weitgehend überbauten Gebiet gehörendes Land aus Gründen des Umgebungsschutzes nicht eingezont werde. Die vorliegenden Freiflächenfestsetzungen sind vergleichbar mit dem Bauverbot zum Schutz des Landguts Q in R. Dieses traf ebenfalls Liegenschaften innerhalb des weitgehend über­bauten Gebiets und war im Interesse des Umgebungsschutzes zwar wünsch­bar, aber wie hier nicht zwingend notwendig, weshalb nach Ansicht des Bundesgerichts eine materielle Ent­eignung zu bejahen war (BGE 121 II 417 E. 7a).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