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VK.2009.00007 vom 28. August 2009</w:t>
      </w:r>
    </w:p>
    <w:p>
      <w:r>
        <w:t>ZH Verwaltungsgericht, 2009-08-28, DE</w:t>
      </w:r>
    </w:p>
    <w:p>
      <w:r>
        <w:rPr>
          <w:b/>
        </w:rPr>
        <w:t xml:space="preserve">Quelle: </w:t>
      </w:r>
      <w:r>
        <w:t>https://mcp.opencaselaw.ch/entscheid/zh_verwaltungsgericht__VK.2009.00007</w:t>
      </w:r>
    </w:p>
    <w:p>
      <w:r>
        <w:t>FR: ZH_VERWALTUNGSGERICHT VK.2009.00007 du 28 août 2009</w:t>
      </w:r>
    </w:p>
    <w:p>
      <w:r>
        <w:t>IT: ZH_VERWALTUNGSGERICHT VK.2009.00007 del 28 agosto 2009</w:t>
      </w:r>
    </w:p>
    <w:p>
      <w:pPr>
        <w:pStyle w:val="Heading2"/>
      </w:pPr>
      <w:r>
        <w:t>Regeste</w:t>
      </w:r>
    </w:p>
    <w:p>
      <w:r>
        <w:t>Aufsichts- und Kontrollpflicht, BVG-Beiträge | Über Schadenersatzansprüche Dritter gegen den Staat entscheiden die Zivilgerichte (E. 2.1). Bezüglich Strafuntersuchungen sind die Strafverfolgungsorgane zuständig (E. 2.2). Das Verwaltungsgericht übt keine Aufsichtsfunktion gegenüber den Verwaltungsbehörden aus. Auf die Klage ist nicht einzutreten (E. 2.3). Nichteintreten, Abweisung UP.</w:t>
      </w:r>
    </w:p>
    <w:p>
      <w:pPr>
        <w:pStyle w:val="Heading2"/>
      </w:pPr>
      <w:r>
        <w:t>Erwägungen</w:t>
      </w:r>
    </w:p>
    <w:p>
      <w:r>
        <w:rPr>
          <w:b/>
        </w:rPr>
        <w:t>E. 4</w:t>
      </w:r>
    </w:p>
    <w:p>
      <w:r>
        <w:t>Zur Rechtsmittelbelehrung im nachstehenden Beschlussdispositiv ist Folgendes zu erläutern:</w:t>
      </w:r>
    </w:p>
    <w:p>
      <w:r>
        <w:rPr>
          <w:b/>
        </w:rPr>
        <w:t>E. 4.1</w:t>
      </w:r>
    </w:p>
    <w:p>
      <w:r>
        <w:t>Die Beschwerde in öffentlichrechtlichen Angelegenheiten nach Art. 82 ff. des Bundesgerichtsgesetzes vom 17. Juni 2005 (BGG, SR 173.10) ist auf dem hier teilweise gegebenen Gebiet der Staatshaftung unzulässig und es steht insofern nur die subsidiäre Verfassungsbeschwerde nach Art. 113 ff. BGG offen, wenn der Streitwert weniger als Fr. 30'000.- beträgt, es stelle sich denn eine Rechtsfrage von grundsätzlicher Bedeutung (Art. 85 Abs. 1 lit. a und Abs. 2 BGG). Lautet ein Begehren wie gegenwärtig nicht auf Bezahlung einer bestimmten Geldsumme, setzt das Bundesgericht den Streitwert nach Ermessen fest (Art. 51 Abs. 2 BGG). Wird von beiden Rechtsmitteln Gebrauch gemacht, muss das in der gleichen Rechtsschrift geschehen (Art. 119 Abs. 1 BGG). – Die genannten Einschränkungen gelten nicht, soweit es hier um die dem Kläger vorschwebende Strafuntersuchung geht. In dieser Hinsicht dürfte sich als Weiterzugsmöglichkeit ohnehin die Beschwerde in Strafsachen nach Art. 78 ff. BGG anbieten. Indem hier die sachliche Zuständigkeit verneint wird, soll es sich immerhin um den Normalfall eines Endentscheids im Sinn des (Art. 117 in Verbindung mit) Art. 90 BGG handeln (so Karl Spühler/Annette Dolge/Dominik Vock, Kurzkommentar zum Bundesgerichtsgesetz, Zürich/St. Gallen 2006, Art. 92 N. 4; Felix Uhlmann, Basler Kommentar, 2008, Art. 92 BGG N. 6 f.). Vorab erhebt sich jedoch die Frage, ob insofern überhaupt ein letztinstanzlicher kantonaler Entscheid gemäss (Art. 113 in Verbindung mit) Art. 80 Abs. 1 bzw. 86 Abs. 1 lit. d BGG vorliege; denn lediglich bei bejahender Antwort liesse sich das Bundesgericht anrufen (unter früherem Recht zu einem ähnlichen Problem ablehnend etwa BGr, 8. März 2006, 1A.39/2006, www.bger.ch). Abgesehen hiervon ist indes nicht ganz klar, ob der gegenwärtige einen Endentscheid bedeute (dazu etwa Nicolas von Werdt in: Hansjörg Seiler/Nicolas von Werdt/Andreas Güngerich, Bundesgerichtsgesetz, Bern 2007, Art. 90 N. 2 ff.; Uhlmann, Art. 92 N. 4 und 6 f.). Verneinendenfalls scheint wenigstens sicher, dass ein Entscheid über die sachliche Zuständigkeit als einer im Sinn des (Art. 117 in Verbindung mit) Art. 92 BGG gelte und sich deshalb zwar im Vergleich zu einem solchen nach (Art. 117 in Verbindung mit) Art. 93 BGG ohne zusätzliche Voraussetzungen sofort, später aber nicht mehr anfechten lasse (vgl. Spühler/Dolge/Vock, Art. 92 N. 4; von Werdt, Art. 92 N. 7 f. und 19; Uhlmann, Art. 92 N. 6 f.).</w:t>
      </w:r>
    </w:p>
    <w:p>
      <w:r>
        <w:rPr>
          <w:b/>
        </w:rPr>
        <w:t>E. 4.2</w:t>
      </w:r>
    </w:p>
    <w:p>
      <w:r>
        <w:t>Soweit es sich hier um Aufsichtsrecht dreht, ist von vornherein kein Weiterzug möglich. Tritt nämlich eine Behörde auf eine Aufsichtsbeschwerde nicht ein oder weist sie eine solche ab bzw. gibt sie ihr keine Folge, liegt kein beim Bundesgericht anfechtbarer Entscheid vor (Uhlmann, Art. 90 BGG N. 5, mit Zitaten zum alten Verfahrensrecht in Fn. 7; vgl. ferner Kölz/Bosshart/Röhl, § 41 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