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VK.2007.00008 vom 28. Mai 2008</w:t>
      </w:r>
    </w:p>
    <w:p>
      <w:r>
        <w:t>ZH Verwaltungsgericht, 2008-05-28, DE</w:t>
      </w:r>
    </w:p>
    <w:p>
      <w:r>
        <w:rPr>
          <w:b/>
        </w:rPr>
        <w:t xml:space="preserve">Quelle: </w:t>
      </w:r>
      <w:r>
        <w:t>https://mcp.opencaselaw.ch/entscheid/zh_verwaltungsgericht__VK.2007.00008</w:t>
      </w:r>
    </w:p>
    <w:p>
      <w:r>
        <w:t>FR: ZH_VERWALTUNGSGERICHT VK.2007.00008 du 28 mai 2008</w:t>
      </w:r>
    </w:p>
    <w:p>
      <w:r>
        <w:t>IT: ZH_VERWALTUNGSGERICHT VK.2007.00008 del 28 maggio 2008</w:t>
      </w:r>
    </w:p>
    <w:p>
      <w:pPr>
        <w:pStyle w:val="Heading2"/>
      </w:pPr>
      <w:r>
        <w:t>Regeste</w:t>
      </w:r>
    </w:p>
    <w:p>
      <w:r>
        <w:t>Kostenübernahme für Fremdplatzierung | Frage der Kostentragung bei Fremdplatzierung (Schul- oder Fürsorgegemeinde) Anwendbares Recht; Zusammenfassung der Rechtsprechung (E. 2). Die Fremdplatzierung des sonderschulbedürftigen Kindes erfolgte aus sozialen Gründen. Daraus folgt, dass die Beklagte (Schulgemeinde) lediglich für die Unterrichtskosten aufzukommen hat (E. 3.5). Teilweise Gutheissung.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 Anwendung von § 86 in Verbindung mit §§ 70 und 13 Abs. 2 Satz 1 VRG sind die Kosten des Verfahrens vor Verwaltungsgericht nach Massgabe des Obsiegens bzw. Unterliegens der Parteien der Beklagten zu 2/7 und der Klägerin zu 5/7 aufzuerlegen. Die unterliegende Partei oder Amtsstelle kann unter bestimmten Voraussetzungen zu einer angemessenen Entschädigung für die Umtriebe der Gegenseite verpflichtet werden (§ 17 Abs. 2 VRG). Nach Massgabe des mehrheitlichen Obsiegens der Beklagten hat die Klägerin der Beklagten eine Parteientschädigung von Fr. 1'000.- zu bezahlen (vgl. Kölz/Bosshart/Röhl, § 17 N. 32). Demgemäss entscheidet die Kammer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