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VB.2025.00529 vom 22. Januar 2026</w:t>
      </w:r>
    </w:p>
    <w:p>
      <w:r>
        <w:t>ZH Verwaltungsgericht, 2026-01-22, DE</w:t>
      </w:r>
    </w:p>
    <w:p>
      <w:r>
        <w:rPr>
          <w:b/>
        </w:rPr>
        <w:t xml:space="preserve">Quelle: </w:t>
      </w:r>
      <w:r>
        <w:t>https://mcp.opencaselaw.ch/entscheid/zh_verwaltungsgericht__VB.2025.00529</w:t>
      </w:r>
    </w:p>
    <w:p>
      <w:r>
        <w:t>FR: ZH_VERWALTUNGSGERICHT VB.2025.00529 du 22 janvier 2026</w:t>
      </w:r>
    </w:p>
    <w:p>
      <w:r>
        <w:t>IT: ZH_VERWALTUNGSGERICHT VB.2025.00529 del 22 gennaio 2026</w:t>
      </w:r>
    </w:p>
    <w:p>
      <w:pPr>
        <w:pStyle w:val="Heading2"/>
      </w:pPr>
      <w:r>
        <w:t>Regeste</w:t>
      </w:r>
    </w:p>
    <w:p>
      <w:r>
        <w:t>Herabsetzung des Lohnes | Nach dem Willen des Gesetzgebers regelt der Kantonsrat die Besoldung der Mitglieder und die Entschädigung der Ersatzmitglieder des Sozialversicherungsgerichts. In Ausübung dieser Kompetenz erliess er 1994 einen Besoldungsbeschluss. Sowohl der Beschwerdeführer als auch der Beschwerdegegner scheinen davon auszugehen, dass diese Regelung hinsichtlich der Entlöhnung von Ersatzrichtenden mit festem Pensum lückenhaft sei. Es steht dem Sozialversicherungsgericht allerdings nicht zu, den als lückenhaft empfundenen Besoldungsbeschluss im Rahmen von dessen Vollzug nach eigenem Gutdünken zu ergänzen und damit über den Lohn seiner eigenen (Ersatz-)Mitglieder zu befinden. Diese Zuständigkeit liegt nach klarer gesetzlicher Regelung einzig beim Kantonsrat (zum Ganzen E. 5). Überweisung der Angelegenheit an den Kantonsrat.</w:t>
      </w:r>
    </w:p>
    <w:p>
      <w:pPr>
        <w:pStyle w:val="Heading2"/>
      </w:pPr>
      <w:r>
        <w:t>Erwägungen</w:t>
      </w:r>
    </w:p>
    <w:p>
      <w:r>
        <w:rPr>
          <w:b/>
        </w:rPr>
        <w:t>E. 4</w:t>
      </w:r>
    </w:p>
    <w:p>
      <w:r>
        <w:t>Der Streitwert bestimmt sich nach der Differenz zwischen der vom Sozialversicherungsgericht festgesetzten und der vom Beschwerdeführer geforderten Besoldung bis zum Ende der Amtsdauer, das heisst für fünf Monate; er beträgt damit rund Fr. 6'800.-. Demnach fiele die Angelegenheit grundsätzlich in die einzelrichterliche Zuständigkeit (§ 38b Abs. 1 lit. c VRG). Angesichts der grundsätzlichen Bedeutung der sich stellenden Rechtsfrage ist die Angelegenheit indes durch die Kammer zu beurteilen (§ 38b Abs. 2 VRG).</w:t>
      </w:r>
    </w:p>
    <w:p>
      <w:r>
        <w:rPr>
          <w:b/>
        </w:rPr>
        <w:t>E. 5.1</w:t>
      </w:r>
    </w:p>
    <w:p>
      <w:r>
        <w:t>Das Verwaltungsgericht prüft von Amtes wegen, ob die Prozessvoraussetzungen bei der Vorinstanz gegeben waren (Bertschi, Kommentar VRG, Vorbemerkungen zu §§ 19–28a N. 57). Fraglich ist hier, ob das Sozialversicherungsgericht für die Festsetzung des Lohns seiner Ersatzmitglieder zuständig ist.</w:t>
      </w:r>
    </w:p>
    <w:p>
      <w:r>
        <w:rPr>
          <w:b/>
        </w:rPr>
        <w:t>E. 5.2</w:t>
      </w:r>
    </w:p>
    <w:p>
      <w:r>
        <w:t>Gemäss § 5 Abs. 6 des Gesetzes über das Sozialversicherungsgericht vom 7. März 1993 (GSVGer, LS 212.81) regelt der Kantonsrat die Besoldung der Mitglieder und die Entschädigung der Ersatzmitglieder des Sozialversicherungsgerichts. In Ausübung dieser Kompetenz erliess der Kantonsrat am 3. Januar 1994 den Beschluss des Kantonsrats über die Festsetzung der Besoldungen der Mitglieder des Sozialversicherungsgerichts (LS 212.83). Gemäss dessen Ziffer I entspricht die jährliche Besoldung der ordentlichen Mitglieder im ersten Dienstjahr Lohnstufe 17 der Lohnklasse 27 und erhöht sich dieser Lohn jährlich jeweils auf den 1. Januar um eine Stufe, sofern der mittelfristige Ausgleich der Erfolgsrechnung der KEF-Periode erreicht wird. Nach Ziffer III erhalten die Ersatzrichtenden des Sozialversicherungsgerichts ein Sitzungsgeld von Fr. 273.- und für jedes unter ihrer Mitwirkung erledigte Geschäft Fr. 317.- (bzw. Fr. 511.- für Ersatzrichtende, die einer selbständigen Tätigkeit nachgehen). Für jedes Referat nebst Vorbereitung erhalten sie Fr. 300.- bis Fr. 710.-. Sowohl der Beschwerdeführer als auch der Beschwerdegegner scheinen davon auszugehen, dass diese Regelung hinsichtlich der Entlöhnung von Ersatzrichtenden mit festem Pensum lückenhaft sei. Die angefochtene Verfügung beruht in diesem Sinn auf einer Lückenfüllung durch das Sozialversicherungsgericht (so ausdrücklich act. 4 E. B).</w:t>
      </w:r>
    </w:p>
    <w:p>
      <w:r>
        <w:rPr>
          <w:b/>
        </w:rPr>
        <w:t>E. 5.3</w:t>
      </w:r>
    </w:p>
    <w:p>
      <w:r>
        <w:t>Es ist indes nicht ersichtlich, woraus sich die Kompetenz des Sozialversicherungsgerichts ergeben sollte, den als lückenhaft empfundenen Beschluss über die Besoldung seiner Mitglieder im Rahmen von dessen Vollzug nach eigenem Gutdünken zu ergänzen. Dem Sozialversicherungsgericht kommt keine Zuständigkeit zu, über den Lohn seiner eigenen (Ersatz-)Mitglieder zu befinden. Diese Zuständigkeit liegt vielmehr nach klarer gesetzlicher Regelung einzig beim Kantonsrat. Dem Beschluss vom 3. Januar 1994 lässt sich im Übrigen auch nicht entnehmen, dass das Sozialversicherungsgericht unklare Besoldungsfragen in eigener Kompetenz regeln dürfte. Eine solche Kompetenz lässt sich auch nicht aus dem Selbstverwaltungsrecht der obersten kantonalen Gerichte (Art. 73 Abs. 3 KV, vgl. auch § 6 Abs. 2 GSVGer) herleiten. Es entspricht zwar der gelebten Praxis, dass die obersten Gerichte die Besoldungsbeschlüsse des Kantonsrats im Rahmen ihrer Selbstverwaltung selbst vollziehen und insofern die Lohnhöhe ihrer Mitglieder festlegen. Das ist aber nur insoweit statthaft, als es um den reinen Vollzug des Besoldungsbeschlusses des Kantonsrats geht. Das Sozialversicherungsgericht wird insofern nur als vollziehende Behörde tätig. Ist hingegen das Sozialversicherungsgericht oder ein betroffenes (Ersatz- ) Mitglied der Auffassung, aufgrund des Besoldungsbeschlusses des Kantonsrats verbleibe eine Unklarheit über die Höhe des Lohns, ist diese Frage dem Kantonsrat als rechtsanwendender Behörde zu unterbreiten.</w:t>
      </w:r>
    </w:p>
    <w:p>
      <w:r>
        <w:rPr>
          <w:b/>
        </w:rPr>
        <w:t>E. 6</w:t>
      </w:r>
    </w:p>
    <w:p>
      <w:r>
        <w:t>Nach dem Gesagten war das Sozialversicherungsgericht für den Erlass der angefochtenen Verfügung vom 6. März 2025 nicht zuständig. Die Beschwerde ist insofern teilweise gutzuheissen und die Verfügung ist aufzuheben. Nachdem die Höhe der Besoldung des Beschwerdeführers in dessen Funktion als Ersatzrichter weiterhin strittig ist, ist die Angelegenheit direkt an den Kantonsrat zu überweisen.</w:t>
      </w:r>
    </w:p>
    <w:p>
      <w:r>
        <w:rPr>
          <w:b/>
        </w:rPr>
        <w:t>E. 7</w:t>
      </w:r>
    </w:p>
    <w:p>
      <w:r>
        <w:t>Weil der Streitwert weniger als Fr. 30'000.- beträgt, sind die Gerichtskosten auf die Gerichtskasse zu nehmen (§ 65a Abs. 3 VRG). Dem Beschwerdeführer, der nicht auf anwaltlichen Beistand angewiesen war und auch keinen übermässigen Aufwand hatte, ist keine Parteientschädigung zuzusprechen (§ 17 Abs. 2 lit. a VRG).</w:t>
      </w:r>
    </w:p>
    <w:p>
      <w:r>
        <w:rPr>
          <w:b/>
        </w:rPr>
        <w:t>E. 8</w:t>
      </w:r>
    </w:p>
    <w:p>
      <w:r>
        <w:t>Zur Rechtsmittelbelehrung des nachfolgenden Dispositivs ist Folgendes zu erläutern. Das vorliegende Urteil ist ein selbständig eröffneter Zwischenentscheid über die Zuständigkeit, gegen den die Beschwerde ans Bundesgericht offensteht (Art. 92 Abs. 1 des Bundesgerichtsgesetzes vom 17. Juni 2005 [BGG, SR 173.110]); eine spätere Anfechtung mit dem Endentscheid ist nicht möglich (Art. 92 Abs. 2 BGG). Da der Streitwert weniger als Fr. 15'000.- beträgt, steht die Beschwerde in öffentlich-rechtlichen Angelegenheiten gemäss Art. 82 ff. BGG nur offen, wenn sich eine Rechtsfrage von grundsätzlicher Bedeutung stellt (Art. 85 Abs. 1 lit. b und Abs. 2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