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VB.2025.00461 vom 24. Juli 2025</w:t>
      </w:r>
    </w:p>
    <w:p>
      <w:r>
        <w:t>ZH Verwaltungsgericht, 2025-07-24, DE</w:t>
      </w:r>
    </w:p>
    <w:p>
      <w:r>
        <w:rPr>
          <w:b/>
        </w:rPr>
        <w:t xml:space="preserve">Quelle: </w:t>
      </w:r>
      <w:r>
        <w:t>https://mcp.opencaselaw.ch/entscheid/zh_verwaltungsgericht__VB.2025.00461</w:t>
      </w:r>
    </w:p>
    <w:p>
      <w:r>
        <w:t>FR: ZH_VERWALTUNGSGERICHT VB.2025.00461 du 24 juillet 2025</w:t>
      </w:r>
    </w:p>
    <w:p>
      <w:r>
        <w:t>IT: ZH_VERWALTUNGSGERICHT VB.2025.00461 del 24 luglio 2025</w:t>
      </w:r>
    </w:p>
    <w:p>
      <w:pPr>
        <w:pStyle w:val="Heading2"/>
      </w:pPr>
      <w:r>
        <w:t>Regeste</w:t>
      </w:r>
    </w:p>
    <w:p>
      <w:r>
        <w:t>Aufsichtsbeschwerde | Keine Zuständigkeit für Einleitung eines Strafverfahrens (E. 2.1), gegenüber Anordnungen der KESB sowie eheschutzrechtliche Massnahmen oder nacheheliche Sorge- und Besuchsrechtsregelungen (E. 2.2), gegenüber Gewaltschutzmassnahmen in erster Instanz (E. 2.3), für Aufsichtsbeschwerden (E. 2.4). Nichteintreten.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sind die Kosten des Verfahrens den Beschwerdeführenden unter solidarischer Haftung aufzuerlegen (§ 65a Abs. 2 in Verbindung mit § 13 Abs. 2 VRG). Die Beschwerdeführenden beantragten keine Parteientschädigung und eine solche stünde ihnen mangels Obsiegens auch nicht zu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