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VB.2025.00428 vom 10. November 2025</w:t>
      </w:r>
    </w:p>
    <w:p>
      <w:r>
        <w:t>ZH Verwaltungsgericht, 2025-11-10, DE</w:t>
      </w:r>
    </w:p>
    <w:p>
      <w:r>
        <w:rPr>
          <w:b/>
        </w:rPr>
        <w:t xml:space="preserve">Quelle: </w:t>
      </w:r>
      <w:r>
        <w:t>https://mcp.opencaselaw.ch/entscheid/zh_verwaltungsgericht__VB.2025.00428</w:t>
      </w:r>
    </w:p>
    <w:p>
      <w:r>
        <w:t>FR: ZH_VERWALTUNGSGERICHT VB.2025.00428 du 10 novembre 2025</w:t>
      </w:r>
    </w:p>
    <w:p>
      <w:r>
        <w:t>IT: ZH_VERWALTUNGSGERICHT VB.2025.00428 del 10 novembre 2025</w:t>
      </w:r>
    </w:p>
    <w:p>
      <w:pPr>
        <w:pStyle w:val="Heading2"/>
      </w:pPr>
      <w:r>
        <w:t>Regeste</w:t>
      </w:r>
    </w:p>
    <w:p>
      <w:r>
        <w:t>Löschung im Handelsregister | Mit der nachträglichen Meldung der Verlegung des Sitzes des von der streitgegenständlichen Löschung betroffenen Einzelunternehmens in den Kanton C und der Eintragung des Unternehmens im dortigen Handelsregister hat das vorliegende Beschwerdeverfahren seinen Gegenstand verloren. Es ist entsprechend abzuschreiben.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Zur Rechtsmittelbelehrung im nachstehenden Urteilsdispositiv ist Folgendes zu erläutern: Öffentlich-rechtliche Entscheide, die in unmittelbarem Zusammenhang mit dem Zivilrecht stehen, unterliegen der Beschwerde in Zivilsachen. Dazu zählen insbesondere auch Entscheide über die Führung des Handelsregisters (Art. 72 Abs. 2 lit. b Ziff. 2 des Bundesgerichtsgesetzes vom 17. Juni 2005 [BGG, SR 173.110]). Da der Streitwert Fr. 30'000.- übersteigt (vgl. vorn E. 1.2), ist insofern auf das ordentliche Rechtsmittel nach Art. 72 ff. BGG zu verweisen (Art. 74 Abs. 1 lit. b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