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VB.2025.00425 vom 6. August 2025</w:t>
      </w:r>
    </w:p>
    <w:p>
      <w:r>
        <w:t>ZH Verwaltungsgericht, 2025-08-06, DE</w:t>
      </w:r>
    </w:p>
    <w:p>
      <w:r>
        <w:rPr>
          <w:b/>
        </w:rPr>
        <w:t xml:space="preserve">Quelle: </w:t>
      </w:r>
      <w:r>
        <w:t>https://mcp.opencaselaw.ch/entscheid/zh_verwaltungsgericht__VB.2025.00425</w:t>
      </w:r>
    </w:p>
    <w:p>
      <w:r>
        <w:t>FR: ZH_VERWALTUNGSGERICHT VB.2025.00425 du 6 août 2025</w:t>
      </w:r>
    </w:p>
    <w:p>
      <w:r>
        <w:t>IT: ZH_VERWALTUNGSGERICHT VB.2025.00425 del 6 agosto 2025</w:t>
      </w:r>
    </w:p>
    <w:p>
      <w:pPr>
        <w:pStyle w:val="Heading2"/>
      </w:pPr>
      <w:r>
        <w:t>Regeste</w:t>
      </w:r>
    </w:p>
    <w:p>
      <w:r>
        <w:t>IDG-Gesuch | Der Beschwerdeführer hat die Beschwerdefrist verpasst und belegt den (sinngemäss) geltend gemachten Fristwiederherstellungsgrund auch innert Nachfrist nicht. Nichteintreten.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gilt es die Gerichtskosten dem unterliegenden Beschwerdeführer aufzuerlegen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