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VB.2025.00362 vom 10. Juli 2025</w:t>
      </w:r>
    </w:p>
    <w:p>
      <w:r>
        <w:t>ZH Verwaltungsgericht, 2025-07-10, DE</w:t>
      </w:r>
    </w:p>
    <w:p>
      <w:r>
        <w:rPr>
          <w:b/>
        </w:rPr>
        <w:t xml:space="preserve">Quelle: </w:t>
      </w:r>
      <w:r>
        <w:t>https://mcp.opencaselaw.ch/entscheid/zh_verwaltungsgericht__VB.2025.00362</w:t>
      </w:r>
    </w:p>
    <w:p>
      <w:r>
        <w:t>FR: ZH_VERWALTUNGSGERICHT VB.2025.00362 du 10 juillet 2025</w:t>
      </w:r>
    </w:p>
    <w:p>
      <w:r>
        <w:t>IT: ZH_VERWALTUNGSGERICHT VB.2025.00362 del 10 luglio 2025</w:t>
      </w:r>
    </w:p>
    <w:p>
      <w:pPr>
        <w:pStyle w:val="Heading2"/>
      </w:pPr>
      <w:r>
        <w:t>Regeste</w:t>
      </w:r>
    </w:p>
    <w:p>
      <w:r>
        <w:t>Massnahmen nach Gewaltschutzgesetz | Massnahmen nach Gewaltschutzgesetz. [Beschwerde gegen die Verlängerung der Schutzmassnahmen gegenüber den beiden Kindern, welche aufgrund einer Gefährdungsmeldung der Schulleitung erlassen wurden.] Keine Kinderanhörung durch das Verwaltungsgericht (E. 2). Ebenso wenig war eine Kinderanhörung im GSG-Verfahren, welches charakterlich einem Summarverfahren mit vermindertem Beweismass entspricht, von der Vorinstanz durchzuführen. Mit der Anhörung der Parteien, dem Beizug der Akten des Scheidungsverfahrens und der Auskunftseinholung bei der Beiständin der Kinder hat die Vorinstanz den Sachverhalt hinreichend abgeklärt (E. 5.2). Die handschriftliche Notiz des Kindes, welche Belastungen gegenüber der Beschwerdeführerin enthält, unterlag ebenfalls dem Beweismass der Glaubhaftmachung (E. 5.3). Der Tatsache, dass die Gefährdungsmeldung bei der Polizei durch die Schulleitung der Schule der Kinder und damit durch eine (neutrale) Drittperson erfolgte, kommt eine gewisse Bedeutung zu. Dass die KESB keine superprovisorischen Massnahmen erliess, stand dem Erlass von GSG-Schutzmassnahmen durch die Polizei nicht entgegen (E. 5.4). Beim Schubsen, welches zu einem Sturz und einer Verletzung oder zumindest zu Schmerzen im Handgelenk eines Kindes führt, handelt es sich um im Sinn des GSG relevante physische Gewalt. Aufgrund der aktenkundigen Umstände, welche ein belastetes Gesamtbild zeigen, ist es nicht zu beanstanden, dass die Vorinstanz auch Vorwürfe, welche für sich allein gesehen keine direkte Kindsgefährdung begründen, im Rahmen der Beurteilung der Glaubhaftmachung berücksichtigte (E. 5.5). Da das Schutzbedürfnis der Kinder aufgrund der Akten ausgewiesen ist, erfolgte die Verlängerung der Schutzmassnahmen zu Recht. Die Ausschöpfung der Maximaldauer erscheint in diesem Fall zwar hoch, erweist sich aber noch nicht als rechtsverletzend (E. 5.8). Abweisung. UP gegenstandslos, Gewährung URB.</w:t>
      </w:r>
    </w:p>
    <w:p>
      <w:pPr>
        <w:pStyle w:val="Heading2"/>
      </w:pPr>
      <w:r>
        <w:t>Erwägungen</w:t>
      </w:r>
    </w:p>
    <w:p>
      <w:r>
        <w:rPr>
          <w:b/>
        </w:rPr>
        <w:t>E. 6.1</w:t>
      </w:r>
    </w:p>
    <w:p>
      <w:r>
        <w:t>Ausgangsgemäss sind die Gerichtskosten der Beschwerdeführerin aufzuerlegen (§ 65a Abs. 2 in Verbindung mit § 13 Abs. 2 VRG; § 12 Abs. 1 GSG). Angesichts ihres Unterliegens ist ihr keine Parteientschädigung zuzusprechen. Sie ist hingegen zu verpflichten, dem Beschwerdegegner 1 eine solche in Höhe von Fr. 1'000.- (inklusive Mehrwertsteuer) zu bezahlen (§ 17 Abs. 2 VRG; § 12 Abs. 2 GSG). Da dem Beschwerdegegner 1 die unentgeltliche Rechtsverbeiständung zu gewähren ist (vgl. unten E. 6.4), ist die Parteientschädigung direkt seiner Rechtsvertreterin zuzusprechen (Kaspar Plüss in: Alain Griffel [Hrsg.], Kommentar zum Verwaltungsrechtspflegegesetz des Kantons Zürich [VRG], 3. A., Zürich etc. 2014 [Kommentar VRG], § 17 N. 45).</w:t>
      </w:r>
    </w:p>
    <w:p>
      <w:r>
        <w:rPr>
          <w:b/>
        </w:rPr>
        <w:t>E. 6.2</w:t>
      </w:r>
    </w:p>
    <w:p>
      <w:r>
        <w:t>Mangels Kostenbelastung durch den vorliegenden Entscheid wird das Gesuch des Beschwerdegegners 1 um unentgeltliche Prozessführung gegenstandslos. Zu prüfen bleibt sein Gesuch um unentgeltliche Rechtsvertretung für das Beschwerdeverfahren.</w:t>
      </w:r>
    </w:p>
    <w:p>
      <w:r>
        <w:rPr>
          <w:b/>
        </w:rPr>
        <w:t>E. 6.3</w:t>
      </w:r>
    </w:p>
    <w:p>
      <w:r>
        <w:t>Gestützt auf § 16 Abs.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6.4</w:t>
      </w:r>
    </w:p>
    <w:p>
      <w:r>
        <w:t>Der Beschwerdegegner 1 belegte seine finanziellen Verhältnisse mit Unterlagen, aus welchen hervorgeht, dass er mit seinen finanziellen Mitteln zwar in der Lage ist, seinen Bedarf wie auch den Unterhalt der Kinder zu decken, darüber hinaus jedoch über keine finanziellen Mittel verfügt, welche derzeit die Bezahlung von Prozess- bzw. Anwaltskosten erlaubten. Seine Mittellosigkeit erscheint damit dargetan. Aufgrund seiner Parteistellung gilt für ihn das Kriterium der fehlenden offensichtlichen Aussichtslosigkeit nicht (Plüss, § 16 N. 44). Die Notwendigkeit des Beizugs einer Rechtsvertreterin ist im Hinblick auf die nicht als einfach zu qualifizierenden rechtlichen Fragen und die Bedeutsamkeit der Angelegenheit sowie schliesslich unter dem Gesichtspunkt der Waffengleichheit zu bejahen (vgl. Plüss, § 16 N. 86). Infolge Gewährung der unentgeltlichen Rechtsvertretung ist dem Beschwerdegegner seine Rechtsvertreterin als unentgeltliche Rechtsverbeiständung zu bestellen.</w:t>
      </w:r>
    </w:p>
    <w:p>
      <w:r>
        <w:rPr>
          <w:b/>
        </w:rPr>
        <w:t>E. 6.5</w:t>
      </w:r>
    </w:p>
    <w:p>
      <w:r>
        <w:t>Dem unentgeltlichen Rechtsbeistand wird der notwendige Zeitaufwand nach den Stundenansätzen des Obergerichts für die unentgeltliche Rechtsvertretung entschädigt, wobei die Bedeutung der Streitsache und die Schwierigkeit des Prozesses berücksichtigt und Barauslagen separat entschädigt werden. Die Entschädigung beträgt nach § 3 der Verordnung (des Obergerichts) über die Anwaltsgebühren vom 8. September 2010 (AnwGebV; LS 215.3) in der Regel Fr. 220.- pro Stunde für unentgeltliche Rechtsvertretungen.</w:t>
      </w:r>
    </w:p>
    <w:p>
      <w:r>
        <w:rPr>
          <w:b/>
        </w:rPr>
        <w:t>E. 6.6</w:t>
      </w:r>
    </w:p>
    <w:p>
      <w:r>
        <w:t>Rechtsanwältin F macht in ihrer auf telefonische Aufforderung hin eingereichten Honorarnote vom 7. Juli 2025 einen Zeitaufwand von 8,75 Stunden geltend. Dies erscheint für ein Gewaltschutzverfahren an der oberen Grenze, jedoch mit Blick auf die Gesamtumstände gerade noch als gerechtfertigt. Dies ergibt – ausgehend von einem Stundenansatz von Fr. 220.- – einen Aufwand von Fr. 1'925.- (zuzüglich 8,1 % Mehrwertsteuer, Fr. 155.90) respektive total Fr. 2'080.90 (inklusive Mehrwertsteuer). In Anrechnung der von der Beschwerdeführerin zu leistenden Parteientschädigung von Fr. 1'000.- (inklusive Mehrwertsteuer, vorn E. 6.1) ist Rechtsanwältin F demzufolge mit Fr. 1'080.90 (inklusive Mehrwertsteuer) aus der Gerichtskasse des Verwaltungsgerichts zu entschädigen.</w:t>
      </w:r>
    </w:p>
    <w:p>
      <w:r>
        <w:rPr>
          <w:b/>
        </w:rPr>
        <w:t>E. 6.7</w:t>
      </w:r>
    </w:p>
    <w:p>
      <w:r>
        <w:t>Der Beschwerdegegner 1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