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VB.2025.00311 vom 30. Juli 2025</w:t>
      </w:r>
    </w:p>
    <w:p>
      <w:r>
        <w:t>ZH Verwaltungsgericht, 2025-07-30, DE</w:t>
      </w:r>
    </w:p>
    <w:p>
      <w:r>
        <w:rPr>
          <w:b/>
        </w:rPr>
        <w:t xml:space="preserve">Quelle: </w:t>
      </w:r>
      <w:r>
        <w:t>https://mcp.opencaselaw.ch/entscheid/zh_verwaltungsgericht__VB.2025.00311</w:t>
      </w:r>
    </w:p>
    <w:p>
      <w:r>
        <w:t>FR: ZH_VERWALTUNGSGERICHT VB.2025.00311 du 30 juillet 2025</w:t>
      </w:r>
    </w:p>
    <w:p>
      <w:r>
        <w:t>IT: ZH_VERWALTUNGSGERICHT VB.2025.00311 del 30 luglio 2025</w:t>
      </w:r>
    </w:p>
    <w:p>
      <w:pPr>
        <w:pStyle w:val="Heading2"/>
      </w:pPr>
      <w:r>
        <w:t>Regeste</w:t>
      </w:r>
    </w:p>
    <w:p>
      <w:r>
        <w:t>Aufenthaltsbewilligung EU/EFTA | [Verweigerung der Erteilung von Aufenthaltsbewilligungen EU/EFTA an rumänische Staatsangehörige und ihr Kind im Säuglingsalter aufgrund einer bloss fingierten Aufnahme einer Erwerbstätigkeit in der Schweiz.] Vereinigung der separaten Beschwerden des Beschwerdeführers (VB.2025.00311) und der Beschwerdeführerinnen 1 und 2 (VB.2025.00420), da sie bei einer Gutheissung der Beschwerde des andern jeweils vom diesem ein Aufenthaltsrecht ableiten könnten (E. 2). Eine ausländische Person verliert ihren Aufenthaltsanspruch nach Art. 6 Abs. 6 Anhang I FZA, wenn ihr Verhalten gesamthaft als rechtsmissbräuchlich bezeichnet werden muss, da sie ihre Bewilligung zum Beispiel gestützt auf eine fingierte Erwerbstätigkeit erworben hat (E. 4.2). Die Vorinstanz hat zahlreiche Indizien erhoben, die dafür sprechen, dass die vom Beschwerdeführer und der Beschwerdeführerin 1 eingereichten Arbeitsverträge fingiert seien und sie sich rechtsmissbräuchlich verhalten hätten (E. 5.2). Die Vorinstanz tätigte hierzu verschiedene Abklärungen bei der (angeblichen) Arbeitgeberin, der SVA und den Parteien selbst, recherchierte im Handelsregister und belegte ihre Schlüsse mit zahlreichen Aktenverweisen. Der Beschwerdeführer und die Beschwerdeführerin 1 bestreiten diese Indizien grösstenteils nicht. Ihr rechtsmissbräuchliches Verhalten ist damit rechtsgenüglich erstellt, womit sie keine Arbeitnehmer im Sinn des FZA sind und ihnen unter diesem Titel kein Aufenthaltsrecht in der Schweiz zukommt (E. 5.3-5.6). Die mittlerweile (angeblich) neu aufgenommene Arbeitstätigkeit der Beschwerdeführerin 1 ändert hieran nichts, da diese aufgrund ihres geringen Umfangs bloss untergeordnet und unwesentlich ist und der Beschwerdeführerin 1 daher keine Arbeitnehmereigenschaft einräumt (E. 5.7). Die wenige Monate alte Beschwerdeführerin 2 teilt das ausländerrechtliche Schicksal ihrer Eltern (E. 6.1). Abweisung.</w:t>
      </w:r>
    </w:p>
    <w:p>
      <w:pPr>
        <w:pStyle w:val="Heading2"/>
      </w:pPr>
      <w:r>
        <w:t>Erwägungen</w:t>
      </w:r>
    </w:p>
    <w:p>
      <w:r>
        <w:rPr>
          <w:b/>
        </w:rPr>
        <w:t>E. 6.1</w:t>
      </w:r>
    </w:p>
    <w:p>
      <w:r>
        <w:t>Dass die Beschwerdeführenden sodann über die für eine erwerbslose Wohnsitznahme gemäss Art. 24 Anhang I FZA erforderlichen finanziellen Mittel verfügen würden, ist weder ersichtlich noch geltend gemacht. Da nach dem Gesagten sowohl dem Beschwerdeführer als auch der Beschwerdeführerin 1 kein Aufenthaltsrecht in der Schweiz zukommt, kommt ihnen auch kein Nachzugsanspruch gestützt auf Art. 3 Anhang I FZA zum jeweiligen Ehegatten zu. Was die Beschwerdeführerin 2 betrifft, ist festzuhalten, dass das ausländische minderjährige Kind schon aus familienrechtlichen Gründen (Art. 25 Abs. 1 und Art. 301 Abs. 3 sowie heute Art. 301a des Zivilgesetzbuchs [SR 210]) im Prinzip das ausländerrechtliche Schicksal der sorgeberechtigten Eltern teilt und mit diesen das Land zu verlassen hat, wenn die Eltern keine Bewilligung (mehr) haben (BGE 139 II 393 E. 4.2.3). Ein eigenständiger Aufenthaltsanspruch aus dem FZA kommt ihr sodann nicht zu.</w:t>
      </w:r>
    </w:p>
    <w:p>
      <w:r>
        <w:rPr>
          <w:b/>
        </w:rPr>
        <w:t>E. 6.2</w:t>
      </w:r>
    </w:p>
    <w:p>
      <w:r>
        <w:t>Die Beschwerdeführenden können auch keinen Aufenthaltsanspruch aus Art. 8 Abs. 1 der Europäischen Menschenrechtskonvention (SR 0.101) ableiten. Ihr gemeinsames Familienleben können sie ohne Weiteres in Rumänien leben und es ist keine besondere Integration oder langjährige bewilligte Aufenthaltsdauer dargetan, die einen Aufenthaltsanspruch gestützt auf das Recht auf Schutz des Privatlebens einräumen würde.</w:t>
      </w:r>
    </w:p>
    <w:p>
      <w:r>
        <w:rPr>
          <w:b/>
        </w:rPr>
        <w:t>E. 6.3</w:t>
      </w:r>
    </w:p>
    <w:p>
      <w:r>
        <w:t>Schliesslich ist die Verweigerung der Erteilung von Aufenthaltsbewilligungen aufgrund eines schwerwiegenden persönlichen Härtefalls (Art. 30 lit. b AIG in Verbindung mit Art. 31 der Verordnung vom 24. Oktober 2007 über Zulassung, Aufenthalt und Erwerbstätigkeit [SR 142.201]) durch die Vorinstanz nicht rechtsverletzend. Der Beschwerdeführer reiste erst im Alter von 25 Jahren in die Schweiz ein und hält sich hier erst seit einem Jahr auf, weshalb eine Rückkehr in die Heimat für ihn keine Härte darstellt. Die Beschwerdeführerin 1 hielt sich schon früher vereinzelt in der Schweiz auf, auch sie ist jedoch nicht integriert und hat den grössten Teil ihres Lebens in Rumänien verbracht. Die vor Verwaltungsgericht erstmals geltend gemachten psychischen Belastungen des Beschwerdeführers ändern daran nichts und die Tatsache, dass die wirtschaftliche Lage oder das Bildungssystem in Rumänien schlechter sein mögen als in der Schweiz, lässt die Wegweisung praxisgemäss nicht als unverhältnismässig erscheinen (vgl. bspw. VGr, 12. September 2024, VB.2024.00067, E. 5.2). Zu berücksichtigen sind ausserdem die bereits gegen den Beschwerdeführer und die Beschwerdeführerin 1 ergangenen Straferkenntnisse und deren Verschuldung in der Schweiz, die ein öffentliches Interesse an ihrer Wegweisung begründen.</w:t>
      </w:r>
    </w:p>
    <w:p>
      <w:r>
        <w:rPr>
          <w:b/>
        </w:rPr>
        <w:t>E. 7.1</w:t>
      </w:r>
    </w:p>
    <w:p>
      <w:r>
        <w:t>Nach dem Gesagten können die Beschwerdeführenden kein Aufenthaltsrecht aus dem Freizügigkeitsabkommen oder einer anderen Rechtsgrundlage ableiten und erweisen sich die Verweigerung von Aufenthaltsbewilligungen und die Wegweisung aus der Schweiz daher als rechtmässig. Damit sind die Beschwerden abzuweisen.</w:t>
      </w:r>
    </w:p>
    <w:p>
      <w:r>
        <w:rPr>
          <w:b/>
        </w:rPr>
        <w:t>E. 7.2</w:t>
      </w:r>
    </w:p>
    <w:p>
      <w:r>
        <w:t>Ausgangsgemäss sind die Gerichtskosten dem Beschwerdeführer und der Beschwerdeführerin 1 unter solidarischer Haftung aufzuerlegen (§ 65a Abs. 2 in Verbindung mit § 13 Abs. 2 Satz 1 VRG).</w:t>
      </w:r>
    </w:p>
    <w:p>
      <w:r>
        <w:rPr>
          <w:b/>
        </w:rPr>
        <w:t>E. 8</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