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ZH_VERWALTUNGSGERICHT VB.2025.00280 vom 25. September 2025</w:t>
      </w:r>
    </w:p>
    <w:p>
      <w:r>
        <w:t>ZH Verwaltungsgericht, 2025-09-25, DE</w:t>
      </w:r>
    </w:p>
    <w:p>
      <w:r>
        <w:rPr>
          <w:b/>
        </w:rPr>
        <w:t xml:space="preserve">Quelle: </w:t>
      </w:r>
      <w:r>
        <w:t>https://mcp.opencaselaw.ch/entscheid/zh_verwaltungsgericht__VB.2025.00280</w:t>
      </w:r>
    </w:p>
    <w:p>
      <w:r>
        <w:t>FR: ZH_VERWALTUNGSGERICHT VB.2025.00280 du 25 septembre 2025</w:t>
      </w:r>
    </w:p>
    <w:p>
      <w:r>
        <w:t>IT: ZH_VERWALTUNGSGERICHT VB.2025.00280 del 25 settembre 2025</w:t>
      </w:r>
    </w:p>
    <w:p>
      <w:pPr>
        <w:pStyle w:val="Heading2"/>
      </w:pPr>
      <w:r>
        <w:t>Regeste</w:t>
      </w:r>
    </w:p>
    <w:p>
      <w:r>
        <w:t>Widerruf der Aufenthaltsbewilligung | [Widerruf der im Familiennachzug erteilten Aufenthaltsbewilligung infolge Auflösung der ehelichen Gemeinschaft] Keine Ehedauer von mindestens drei Jahren gemäss Art. 50 Abs. 1 lit. a AIG (E. 2.2). Schwierigkeiten bei der Wiedereingliederung im Heimatland im Sinn von Art. 50 Abs. 1 lit. b AIG setzen einen Kausalzusammenhang zur Ehe voraus; Repressalien seitens Familie sind nicht belegt (E. 2.3). Besonders intensive Beziehungen zur Schweiz im Sinn von Art. 8 EMRK verneint (E. 3). Abweisung.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Nach dem Gesagten ist die Beschwerde abzuweisen.</w:t>
      </w:r>
    </w:p>
    <w:p>
      <w:r>
        <w:rPr>
          <w:b/>
        </w:rPr>
        <w:t>E. 5</w:t>
      </w:r>
    </w:p>
    <w:p>
      <w:r>
        <w:t>Ausgangsgemäss sind die Gerichtskosten dem Beschwerdeführer aufzuerlegen und ist diesem keine Parteientschädigung zuzusprechen (§ 65a Abs. 2 in Verbindung mit § 13 Abs. 2 VRG; § 17 Abs. 2 VRG).</w:t>
      </w:r>
    </w:p>
    <w:p>
      <w:r>
        <w:rPr>
          <w:b/>
        </w:rPr>
        <w:t>E. 6</w:t>
      </w:r>
    </w:p>
    <w:p>
      <w:r>
        <w:t>Zur Rechtsmittelbelehrung des nachfolgenden Urteilsdispositivs ist Folgendes zu erläutern: Soweit ein Anwesenheitsanspruch des Beschwerdeführers geltend gemacht wird, ist die Beschwerde in öffentlich-rechtlichen Angelegenheiten nach Art. 82 ff. des Bundesgerichtsgesetzes vom 17. Juni 2005 (BGG, SR 173.110) zulässig (BGE 147 I 268 E. 1.2 mit Hinweisen). Ansonsten steht nur die subsidiäre Verfassungsbeschwerde gemäss Art. 113 ff. BGG offen.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