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VB.2025.00237 vom 6. April 2022</w:t>
      </w:r>
    </w:p>
    <w:p>
      <w:r>
        <w:t>ZH Verwaltungsgericht, 2022-04-06, DE</w:t>
      </w:r>
    </w:p>
    <w:p>
      <w:r>
        <w:rPr>
          <w:b/>
        </w:rPr>
        <w:t xml:space="preserve">Quelle: </w:t>
      </w:r>
      <w:r>
        <w:t>https://mcp.opencaselaw.ch/entscheid/zh_verwaltungsgericht__VB.2025.00237</w:t>
      </w:r>
    </w:p>
    <w:p>
      <w:r>
        <w:t>FR: ZH_VERWALTUNGSGERICHT VB.2025.00237 du 6 avril 2022</w:t>
      </w:r>
    </w:p>
    <w:p>
      <w:r>
        <w:t>IT: ZH_VERWALTUNGSGERICHT VB.2025.00237 del 6 aprile 2022</w:t>
      </w:r>
    </w:p>
    <w:p>
      <w:pPr>
        <w:pStyle w:val="Heading2"/>
      </w:pPr>
      <w:r>
        <w:t>Regeste</w:t>
      </w:r>
    </w:p>
    <w:p>
      <w:r>
        <w:t>Erteilung von Aufenthaltsbewilligungen | [Die Beschwerdeführerinnen stellten nach Ablauf der Frist zur Zahlung eines Kostenvorschusses ein Gesuch um unentgeltliche Rechtspflege.] Wer die ordentliche Frist zur Zahlung eines Kostenvorschusses hat verstreichen lassen, nicht spätestens innerhalb der Zahlungsfrist ein Gesuch um unentgeltliche Rechtspflege stellt und darin seiner verfahrensrechtlichen Pflicht nachkommt, die behauptete Mittellosigkeit vollumfänglich zu belegen, hat einen Nichteintretensentscheid zu gewärtigen (E. 1.4). Ein Gesuch um unentgeltliche Rechtspflege ist hinreichend zu substanziieren und mit den erforderlichen Unterlagen zu belegen (E. 1.5). Abweisung UP. Nichteintreten infolge Kautionssäumnis.</w:t>
      </w:r>
    </w:p>
    <w:p>
      <w:pPr>
        <w:pStyle w:val="Heading2"/>
      </w:pPr>
      <w:r>
        <w:t>Erwägungen</w:t>
      </w:r>
    </w:p>
    <w:p>
      <w:r>
        <w:rPr>
          <w:b/>
        </w:rPr>
        <w:t>E. 2</w:t>
      </w:r>
    </w:p>
    <w:p>
      <w:r>
        <w:t>Bei diesem Verfahrensausgang sind die reduzierten Gerichtskosten der Beschwerdeführerin 1 aufzuerlegen (§ 65a Abs. 2 in Verbindung mit § 13 Abs. 2 Satz 1 VRG). Praxisgemäss verzichtet das Verwaltungsgericht auf eine Kostenauflage gegenüber minderjährigen Parteien, womit die Gerichtskosten allein den im Namen ihrer Kinder prozessierenden Eltern zu überbinden sind (VGr, 6. April 2022, VB.2022.00038, E. 5.1 mit Hinweisen). Eine Parteientschädigung steht den Beschwerdeführerinnen nicht zu (§ 17 Abs. 2 VRG).</w:t>
      </w:r>
    </w:p>
    <w:p>
      <w:r>
        <w:rPr>
          <w:b/>
        </w:rPr>
        <w:t>E. 3</w:t>
      </w:r>
    </w:p>
    <w:p>
      <w:r>
        <w:t>Der vorliegende Entscheid kann mit Beschwerde in öffentlich-rechtlichen Angelegenheiten nach Art. 82 ff. des Bundesgerichtsgesetzes vom 17. Juni 2005 (BGG) angefochten werden, soweit ein Rechtsanspruch auf eine ausländerrechtliche Bewilligung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