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VB.2025.00157 vom 9. Januar 2020</w:t>
      </w:r>
    </w:p>
    <w:p>
      <w:r>
        <w:t>ZH Verwaltungsgericht, 2020-01-09, DE</w:t>
      </w:r>
    </w:p>
    <w:p>
      <w:r>
        <w:rPr>
          <w:b/>
        </w:rPr>
        <w:t xml:space="preserve">Quelle: </w:t>
      </w:r>
      <w:r>
        <w:t>https://mcp.opencaselaw.ch/entscheid/zh_verwaltungsgericht__VB.2025.00157</w:t>
      </w:r>
    </w:p>
    <w:p>
      <w:r>
        <w:t>FR: ZH_VERWALTUNGSGERICHT VB.2025.00157 du 9 janvier 2020</w:t>
      </w:r>
    </w:p>
    <w:p>
      <w:r>
        <w:t>IT: ZH_VERWALTUNGSGERICHT VB.2025.00157 del 9 gennaio 2020</w:t>
      </w:r>
    </w:p>
    <w:p>
      <w:pPr>
        <w:pStyle w:val="Heading2"/>
      </w:pPr>
      <w:r>
        <w:t>Regeste</w:t>
      </w:r>
    </w:p>
    <w:p>
      <w:r>
        <w:t>Berufsausübungsverbot (aufschiebende Wirkung) | Bei Verdacht auf Ausstellung von mindestens drei Gefälligkeitszeugnissen während der Coronapandemie wurde der Beschwerdeführer, Hausarzt mit eigener Praxis, vom Amt für Gesundheit (AFG) mit rechtskräftiger Verfügung zur Herausgabe der vollständigen entsprechenden Patientenakten verpflichtet. Darauf reichte er die Patientenakten ein, wobei er die Einträge zu den Konsultationen im Zeitraum nach der Ausstellung der betreffenden Masken-, Impf- und Testdispense weitgehend schwärzte. Die Einreichung der ungeschwärzten Patientenakten verweigerte er beharrlich. Mit Verfügung vom 18. Oktober 2024 wurde dem Beschwerdeführer wegen Wegfallens der Vertrauenswürdigkeit die Bewilligung zur fachlich eigenverantwortlichen Berufsausübung entzogen und dem Rekurs die aufschiebende Wirkung entzogen. Mit Zwischenentscheid vom 29. Januar 2025 wies die Gesundheitsdirektion das Gesuch um Wiederherstellung der aufschiebenden Wirkung des Rekurses ab. Hiergegen richtet sich die vorliegende Beschwerde. Das unkooperative Verhalten des Beschwerdeführers wiegt schwer und hat sich während der Verfahrensdauer noch akzentuiert. Der Beschwerdeführer hat gegenüber seinen Patienten die Vorinstanz und den Beschwerdegegner beschimpft bzw. gegen einzelne dort beschäftigte Mitarbeitende gar eine Strafanzeige erhoben und seine Patienten ermutigt, es ihm gleichzutun. Dadurch wurde das Vertrauensverhältnis zwischen dem Beschwerdegegner und dem Beschwerdeführer zusätzlich erheblich beeinträchtigt (E. 5.5). Nach einer summarischen Prüfung ist der vorinstanzliche Schluss vom Verhalten des Beschwerdeführers auf eine konkrete Gefährdung der im Interesse der öffentlichen Gesundheit liegenden gesundheitspolizeilichen Aufsicht nicht zu beanstanden (E. 5.6). Der Entzug der aufschiebenden Wirkung erweist sich als verhältnismässig (E. 5.7). Abweisung der Beschwerde.</w:t>
      </w:r>
    </w:p>
    <w:p>
      <w:pPr>
        <w:pStyle w:val="Heading2"/>
      </w:pPr>
      <w:r>
        <w:t>Erwägungen</w:t>
      </w:r>
    </w:p>
    <w:p>
      <w:r>
        <w:rPr>
          <w:b/>
        </w:rPr>
        <w:t>E. 6</w:t>
      </w:r>
    </w:p>
    <w:p>
      <w:r>
        <w:t>Nach dem Gesagten haben die Vorinstanzen ihr Ermessen in rechtsgenügender Weise ausgeübt, indem sie dem Rekurs gegen die bewilligungsentziehende Verfügung des Beschwerdegegners vom 18. Oktober 2024 die aufschiebende Wirkung entzogen bzw. den hiergegen erhobenen Rekurs abgewiesen haben. Dies führt zur Abweisung der Beschwerde.</w:t>
      </w:r>
    </w:p>
    <w:p>
      <w:r>
        <w:rPr>
          <w:b/>
        </w:rPr>
        <w:t>E. 7</w:t>
      </w:r>
    </w:p>
    <w:p>
      <w:r>
        <w:t>Ausgangsgemäss sind die Kosten des Beschwerdeverfahrens dem Beschwerdeführer aufzuerlegen und es ist ihm keine Parteientschädigung zuzusprechen (§ 65a Abs. 2 in Verbindung mit § 13 Abs. 2 VRG; § 17 Abs. 2 VRG).</w:t>
      </w:r>
    </w:p>
    <w:p>
      <w:r>
        <w:rPr>
          <w:b/>
        </w:rPr>
        <w:t>E. 8</w:t>
      </w:r>
    </w:p>
    <w:p>
      <w:r>
        <w:t>Das vorliegende, einen Zwischenentscheid betreffende Urteil ist ebenfalls ein Zwischenentscheid, der wiederum nur unter den einschränkenden Bedingungen von Art. 93 Abs. 1 BGG angefochten werden kann ( vorn E. 1.2; VGr, 9. Januar 2020, VB.2019.00789, E. 8; Bertschi, § 19a N. 32). Sodann ist auf Art. 98 BGG hinzuweisen, wonach mit der Beschwerde gegen Entscheide über vorsorgliche Massnahmen nur die Verletzung von verfassungsmässigen Rechten gerügt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