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VB.2025.00152 vom 19. Juli 2024</w:t>
      </w:r>
    </w:p>
    <w:p>
      <w:r>
        <w:t>ZH Verwaltungsgericht, 2024-07-19, DE</w:t>
      </w:r>
    </w:p>
    <w:p>
      <w:r>
        <w:rPr>
          <w:b/>
        </w:rPr>
        <w:t xml:space="preserve">Quelle: </w:t>
      </w:r>
      <w:r>
        <w:t>https://mcp.opencaselaw.ch/entscheid/zh_verwaltungsgericht__VB.2025.00152</w:t>
      </w:r>
    </w:p>
    <w:p>
      <w:r>
        <w:t>FR: ZH_VERWALTUNGSGERICHT VB.2025.00152 du 19 juillet 2024</w:t>
      </w:r>
    </w:p>
    <w:p>
      <w:r>
        <w:t>IT: ZH_VERWALTUNGSGERICHT VB.2025.00152 del 19 luglio 2024</w:t>
      </w:r>
    </w:p>
    <w:p>
      <w:pPr>
        <w:pStyle w:val="Heading2"/>
      </w:pPr>
      <w:r>
        <w:t>Regeste</w:t>
      </w:r>
    </w:p>
    <w:p>
      <w:r>
        <w:t>Aufenthaltsbewilligung (Wiedererwägung) und Ausreisefrist | Der Beschwerdegegner verweigerte dem Beschwerdeführer die Verlängerung der Aufenthaltsbewilligung, weil er den Behörden bei der Einreise verschwiegen habe, dass er im Ausland wiederholt delinquiert hatte. Seit Rechtskraft der betreffenden Wegweisungsverfügung hat sich der Beschwerdeführer nicht im Ausland bewährt. Entgegen seinem Dafürhalten drängt sich zudem allein deshalb, weil er gegen die ihm gegenüber verfügte Einreisesperre beim Bundesverwaltungsgericht ein Rechtsmittel ergriffen hat und seit der Begehung der mit einer Geldstrafe geahndeten Täuschung der Behörden mehr als drei Jahre vergangen sind, keine frühere Neubeurteilung auf. Dass sich die Verhältnisse in den wenigen Monaten seit Eintritt der Rechtskraft der Wegweisungsverfügung dermassen geändert hätten, dass ausnahmsweise auch vor Ablauf der fünfjährigen Bewährungsfrist ein Anspruch auf Neubeurteilung bestehen würde, ist ebenfalls nicht ersichtlich. Zwar liegt mit der vom Beschwerdeführer in diesem Zusammenhang vorgebrachten Geburt seines dritten Kindes ein neues Element vor; wie die Vorinstanz zu Recht erwägt, rechtfertigt dieses allein jedoch keine vorzeitige Neubeurteilung der Bewilligungssituation des Beschwerdeführers (zum Ganzen E. 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1 Satz 2 VRG). Eine Parteientschädigung ist ihm nicht zuzusprechen (§ 17 Abs. 2 VRG).</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BGr, 19. Juli 2024, 2C_367/2023, E. 1.1 mit Hinweisen);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