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VB.2025.00113 vom 29. April 2025</w:t>
      </w:r>
    </w:p>
    <w:p>
      <w:r>
        <w:t>ZH Verwaltungsgericht, 2025-04-29, DE</w:t>
      </w:r>
    </w:p>
    <w:p>
      <w:r>
        <w:rPr>
          <w:b/>
        </w:rPr>
        <w:t xml:space="preserve">Quelle: </w:t>
      </w:r>
      <w:r>
        <w:t>https://mcp.opencaselaw.ch/entscheid/zh_verwaltungsgericht__VB.2025.00113</w:t>
      </w:r>
    </w:p>
    <w:p>
      <w:r>
        <w:t>FR: ZH_VERWALTUNGSGERICHT VB.2025.00113 du 29 avril 2025</w:t>
      </w:r>
    </w:p>
    <w:p>
      <w:r>
        <w:t>IT: ZH_VERWALTUNGSGERICHT VB.2025.00113 del 29 aprile 2025</w:t>
      </w:r>
    </w:p>
    <w:p>
      <w:pPr>
        <w:pStyle w:val="Heading2"/>
      </w:pPr>
      <w:r>
        <w:t>Regeste</w:t>
      </w:r>
    </w:p>
    <w:p>
      <w:r>
        <w:t>Fristwahrung bei Kautionszahlung | Nichteintreten infolge nicht fristgemäss geleisteter Kautionszahlung.</w:t>
      </w:r>
    </w:p>
    <w:p>
      <w:pPr>
        <w:pStyle w:val="Heading2"/>
      </w:pPr>
      <w:r>
        <w:t>Erwägungen</w:t>
      </w:r>
    </w:p>
    <w:p>
      <w:r>
        <w:rPr>
          <w:b/>
        </w:rPr>
        <w:t>E. 2</w:t>
      </w:r>
    </w:p>
    <w:p>
      <w:r>
        <w:t>Bei diesem Verfahrensausgang sind die reduzierten Gerichtskosten dem Beschwerdeführer aufzuerlegen (§ 13 Abs. 2 in Verbindung mit § 65a Abs. 2 VRG und § 4 Abs. 2 der Gebührenverordnung des Verwaltungsgerichts vom 3. Juli 2018 [GebV VGr]) und ihm steht keine Umtriebsentschädigung zu, zumal eine solche auch nicht verlangt worden ist (§ 17 Abs. 2 VRG).</w:t>
      </w:r>
    </w:p>
    <w:p>
      <w:r>
        <w:rPr>
          <w:b/>
        </w:rPr>
        <w:t>E. 3</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