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VB.2025.00086 vom 3. März 2022</w:t>
      </w:r>
    </w:p>
    <w:p>
      <w:r>
        <w:t>ZH Verwaltungsgericht, 2022-03-03, DE</w:t>
      </w:r>
    </w:p>
    <w:p>
      <w:r>
        <w:rPr>
          <w:b/>
        </w:rPr>
        <w:t xml:space="preserve">Quelle: </w:t>
      </w:r>
      <w:r>
        <w:t>https://mcp.opencaselaw.ch/entscheid/zh_verwaltungsgericht__VB.2025.00086</w:t>
      </w:r>
    </w:p>
    <w:p>
      <w:r>
        <w:t>FR: ZH_VERWALTUNGSGERICHT VB.2025.00086 du 3 mars 2022</w:t>
      </w:r>
    </w:p>
    <w:p>
      <w:r>
        <w:t>IT: ZH_VERWALTUNGSGERICHT VB.2025.00086 del 3 marzo 2022</w:t>
      </w:r>
    </w:p>
    <w:p>
      <w:pPr>
        <w:pStyle w:val="Heading2"/>
      </w:pPr>
      <w:r>
        <w:t>Regeste</w:t>
      </w:r>
    </w:p>
    <w:p>
      <w:r>
        <w:t>Gewässerraum | Gewässerraum. Zuständigkeit des Einzelrichters (E. 1.1). Ein Arztzeugnis wie das vorliegende, womit ohne nähere Angabe von Gründen eine gänzliche Arbeitsunfähigkeit für einen bestimmten Zeitraum bescheinigt wird, genügt nicht als Nachweis für das Vorliegen eines Fristwiederherstellungsgrunds bzw. für das Fehlen einer groben Nachlässigkeit im Sinn von § 12 Abs. 2 VRG. Hierfür ist vielmehr erforderlich, dass im Arztzeugnis ausgeführt wird, weshalb und inwiefern die betroffene Person die fristwahrende Handlung aus gesundheitlichen Gründen nicht vornehmen und auch niemand anderen damit betrauen konnte. Es obliegt der säumigen Person, die Säumnisgründe im Wiederherstellungsgesuch vollständig und genau darzustellen. Fehlt eine derartige Sachverhaltsdarstellung, ist weder eine amtliche Untersuchung über die massgebenden Tatsachen zu führen noch der betreffenden Partei Frist zur Verbesserung des Gesuchs anzusetzen. Das Gesuch der Beschwerdeführerin um Wiederherstellung der Beschwerdefrist ist somit – ohne Weiterungen – abzuweisen (E. 2.2). Bei der Abweisung eines Fristwiederherstellungsgesuchs hinsichtlich einer Rechtsmittelfrist handelt es sich um einen einem Nichteintretensentscheid vergleichbaren Endentscheid (E. 4). Abweisung des Fristwiederherstellungsgesuchs.</w:t>
      </w:r>
    </w:p>
    <w:p>
      <w:pPr>
        <w:pStyle w:val="Heading2"/>
      </w:pPr>
      <w:r>
        <w:t>Erwägungen</w:t>
      </w:r>
    </w:p>
    <w:p>
      <w:r>
        <w:rPr>
          <w:b/>
        </w:rPr>
        <w:t>E. 3</w:t>
      </w:r>
    </w:p>
    <w:p>
      <w:r>
        <w:t>Ausgangsgemäss sind die Gerichtskosten der Beschwerdeführerin aufzuerlegen (§ 65a Abs. 2 in Verbindung mit § 13 Abs. 2 VRG). Eine Umtriebsentschädigung hat sie nicht beantragt und stünde ihr mangels Obsiegens auch nicht zu (§ 17 Abs. 2 VRG).</w:t>
      </w:r>
    </w:p>
    <w:p>
      <w:r>
        <w:rPr>
          <w:b/>
        </w:rPr>
        <w:t>E. 4</w:t>
      </w:r>
    </w:p>
    <w:p>
      <w:r>
        <w:t>Bei der Abweisung eines Fristwiederherstellungsgesuchs hinsichtlich einer Rechtsmittelfrist handelt es sich um einen einem Nichteintretensentscheid vergleichbaren Endentscheid, der mit dem in der Hauptsache zur Verfügung stehenden Rechtsmittel angefochten werden kann (vgl. Plüss, § 12 N. 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