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VB.2025.00076 vom 10. April 2025</w:t>
      </w:r>
    </w:p>
    <w:p>
      <w:r>
        <w:t>ZH Verwaltungsgericht, 2025-04-10, DE</w:t>
      </w:r>
    </w:p>
    <w:p>
      <w:r>
        <w:rPr>
          <w:b/>
        </w:rPr>
        <w:t xml:space="preserve">Quelle: </w:t>
      </w:r>
      <w:r>
        <w:t>https://mcp.opencaselaw.ch/entscheid/zh_verwaltungsgericht__VB.2025.00076</w:t>
      </w:r>
    </w:p>
    <w:p>
      <w:r>
        <w:t>FR: ZH_VERWALTUNGSGERICHT VB.2025.00076 du 10 avril 2025</w:t>
      </w:r>
    </w:p>
    <w:p>
      <w:r>
        <w:t>IT: ZH_VERWALTUNGSGERICHT VB.2025.00076 del 10 aprile 2025</w:t>
      </w:r>
    </w:p>
    <w:p>
      <w:pPr>
        <w:pStyle w:val="Heading2"/>
      </w:pPr>
      <w:r>
        <w:t>Regeste</w:t>
      </w:r>
    </w:p>
    <w:p>
      <w:r>
        <w:t>Erteilung einer Aufenthaltsbewilligung | Vor Verwaltungsgericht reichte der Beschwerdeführer, ein 1984 geborener Staatsangehöriger Tunesiens, ein Gutachten über das Ergebnis einer DNA-Analyse ein, wonach seine Vaterschaft zu dem im Januar 2024 geborenen Kind seiner Schweizer Partnerin praktisch erwiesen sei, sowie eine Mitteilung der am 10. Februar 2025 erfolgten Kindsanerkennung. Mit der nachgewiesenen Vaterschaft des Beschwerdeführers liegt neu ein Indiz vor, das praxisgemäss für das Bestehen eines "qualifizierten" Konkubinats zwischen den Kindseltern spricht. Für eine gesicherte Annahme fehlt hier allerdings immer noch ein Nachweis dafür, dass der Beschwerdeführer und die Kindsmutter überhaupt (noch) ein Paar sind. Der Anspruch auf Achtung des Familienlebens gilt zudem nicht absolut, sondern kann rechtmässig eingeschränkt werden, wenn dies gesetzlich vorgesehen ist, einem legitimen Zweck entspricht und zu dessen Realisierung in einer demokratischen Gesellschaft notwendig erscheint. Auch diesbezüglich ist der Sachverhalt vorliegend ergänzungsbedürftig bzw. lückenhaft (zum Ganzen E. 3). Gutheissung bzw. Gegenstandslosigkeit des Gesuchs um UP/URB. Teilweise Gutheissung und Sprungrückweisung.</w:t>
      </w:r>
    </w:p>
    <w:p>
      <w:pPr>
        <w:pStyle w:val="Heading2"/>
      </w:pPr>
      <w:r>
        <w:t>Erwägungen</w:t>
      </w:r>
    </w:p>
    <w:p>
      <w:r>
        <w:rPr>
          <w:b/>
        </w:rPr>
        <w:t>E. 4</w:t>
      </w:r>
    </w:p>
    <w:p>
      <w:r>
        <w:t>Nach dem Gesagten ist die Beschwerde teilweise gutzuheissen. Dispositiv-Ziff. I und II des Rekursentscheids vom 7. Januar 2025 und die Verfügung des Beschwerdegegners vom 22. Oktober 2024 sind aufzuheben; die Sache ist zur ergänzenden Sachverhaltsabklärung und zu neuem Entscheid an den Beschwerdegegner zurückzuweisen.</w:t>
      </w:r>
    </w:p>
    <w:p>
      <w:r>
        <w:rPr>
          <w:b/>
        </w:rPr>
        <w:t>E. 5.1</w:t>
      </w:r>
    </w:p>
    <w:p>
      <w:r>
        <w:t>Die (Sprung-)Rückweisung zur erneuten Entscheidung bei offenem Ausgang ist in Bezug auf die Regelung der Nebenfolgen grundsätzlich als Obsiegen zu behandeln, wenn die Rechtsmittelinstanz reformatorisch oder kassatorisch entscheiden kann (BGr, 28. April 2014, 2C_846/2013, E. 3.2 f. mit Hinweisen; Marco Donatsch, in: Alain Griffel [Hrsg.], Kommentar zum Verwaltungsrechtspflegegesetz des Kantons Zürich [VRG], 3. A., Zürich etc. 2014 [Kommentar VRG], § 64 N. 5). Nach § 13 Abs. 2 (teilweise in Verbindung mit § 65a Abs. 2) VRG werden die Kosten des Rekurs- bzw. Beschwerdeverfahrens regelmässig nach Massgabe des Unterliegens und ausnahmsweise nach dem Verursacherprinzip auferlegt; möglich ist sodann die Kostenauferlegung ohne Anknüpfung an die gesetzlichen Kriterien und unter Berücksichtigung von Billigkeitserwägungen (vgl. Kaspar Plüss, Kommentar VRG, § 13 N. 41). Nach § 17 Abs. 2 VRG kann die unterliegende Partei oder Amtsstelle im Rekursverfahren und im Verfahren vor Verwaltungsgericht zudem zur Leistung einer Parteientschädigung verpflichtet werden.</w:t>
      </w:r>
    </w:p>
    <w:p>
      <w:r>
        <w:rPr>
          <w:b/>
        </w:rPr>
        <w:t>E. 5.2</w:t>
      </w:r>
    </w:p>
    <w:p>
      <w:r>
        <w:t>Der Beschwerdeführer machte bislang keine näheren Angaben zu seiner (behaupteten) Beziehung mit B und reichte vor den Vorinstanzen keine tauglichen Belege dafür bzw. für seine Vaterschaft ein. Die teilweise Gutheissung der Beschwerde ist lediglich darauf zurückzuführen, dass er im vorliegenden Verfahren einen Beleg für seine biologische Vaterschaft und für die offizielle Anerkennung seines Sohns einreichte. Dementsprechend handelte die Vorinstanz richtig, als sie den Rekurs des Beschwerdeführers abwies, ihm die Rekurskosten auferlegte und ihm eine Parteientschädigung verweigerte. Die Kosten des Beschwerdeverfahrens sind dagegen nach dem Unterliegerprinzip dem Beschwerdegegner aufzuerlegen und dieser ist zu verpflichten, dem Beschwerdeführer für das Beschwerdeverfahren eine angemessene Parteientschädigung von Fr. 1'500.- zuzüglich Mehrwertsteuer zu bezahlen.</w:t>
      </w:r>
    </w:p>
    <w:p>
      <w:r>
        <w:rPr>
          <w:b/>
        </w:rPr>
        <w:t>E. 5.3</w:t>
      </w:r>
    </w:p>
    <w:p>
      <w:r>
        <w:t>Der Beschwerdeführer ersucht vor Verwaltungsgericht (erstmals)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5.3.1</w:t>
      </w:r>
    </w:p>
    <w:p>
      <w:r>
        <w:t>Durch die Kostenbelastung des Beschwerdegegners wird das Gesuch um unentgeltliche Prozessführung für das Beschwerdeverfahren gegenstandslos. Das Gesuch um unentgeltliche Rechtvertretung ist angesichts der Mittellosigkeit des Beschwerdeführers gutzuheissen und ihm in der Person von Rechtsanwalt C ein unentgeltlicher Rechtsbeistand beizugeben.</w:t>
      </w:r>
    </w:p>
    <w:p>
      <w:r>
        <w:rPr>
          <w:b/>
        </w:rPr>
        <w:t>E. 5.3.2</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Der Vertreter des Beschwerdeführers macht für das Beschwerdeverfahren einen Aufwand von insgesamt 8,167 Stunden und Fr. 40.70 Auslagen (zuzüglich Mehrwertsteuer) geltend. Der darin enthaltene Aufwand für das Verfassen der Beschwerde (6 Stunden) erscheint indes mit Blick auf deren Inhalt klar als zu hoch bzw. der Sache nicht angemessen; er ist entsprechend auf 4 Stunden zu kürzen. Die zu entschädigenden Aufwendungen von Rechtsanwalt C betragen daher insgesamt Fr. 1'510.63 (inklusive Mehrwertsteuer), weshalb sein Anspruch auf Entschädigung als unentgeltlicher Rechtsbeistand durch die Bezahlung der Parteientschädigung von Fr. 1'500.- (zuzüglich Mehrwertsteuer) an ihn abgegolten ist (vgl. VGr, 18. Februar 2021, VB.2020.00399, E. 4.4) .</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