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VB.2025.00075 vom 18. Dezember 2024</w:t>
      </w:r>
    </w:p>
    <w:p>
      <w:r>
        <w:t>ZH Verwaltungsgericht, 2024-12-18, DE</w:t>
      </w:r>
    </w:p>
    <w:p>
      <w:r>
        <w:rPr>
          <w:b/>
        </w:rPr>
        <w:t xml:space="preserve">Quelle: </w:t>
      </w:r>
      <w:r>
        <w:t>https://mcp.opencaselaw.ch/entscheid/zh_verwaltungsgericht__VB.2025.00075</w:t>
      </w:r>
    </w:p>
    <w:p>
      <w:r>
        <w:t>FR: ZH_VERWALTUNGSGERICHT VB.2025.00075 du 18 décembre 2024</w:t>
      </w:r>
    </w:p>
    <w:p>
      <w:r>
        <w:t>IT: ZH_VERWALTUNGSGERICHT VB.2025.00075 del 18 dicembre 2024</w:t>
      </w:r>
    </w:p>
    <w:p>
      <w:pPr>
        <w:pStyle w:val="Heading2"/>
      </w:pPr>
      <w:r>
        <w:t>Regeste</w:t>
      </w:r>
    </w:p>
    <w:p>
      <w:r>
        <w:t>Nicht-Veröffentlichung des Beleuchtenden Berichts | [Der Stadtrat der Stadt Dübendorf ordnete eine Abstimmung über eine Volksinitiative an, publizierte dies und versandte die Abstimmungsunterlagen an die Stimmberechtigten. Daraufhin erhob der Beschwerdeführer Stimmrechtsrekurs und machte geltend, der Stadtrat habe die Abstimmungsunterlagen nicht gehörig veröffentlicht.] Der Beschwerdeführer beantragte lediglich, der Stadtrat und der Bezirksrat hätten sich an das Gesetz zu halten, die Aufhebung der Abstimmung beantragte er nicht. Folglich stellte er bloss ein Feststellungsbegehren. Feststellungsbegehren setzen ein spezifisches schutzwürdiges Interesse voraus. Ein solches hat der Beschwerdeführer nicht, weshalb auf die Beschwerde in der Hauptsache nicht einzutreten ist (E. 2). Die Vorinstanz hat den Rekurs zurecht als offensichtlich aussichtslos qualifiziert, weshalb die vorinstanzliche Kostenverlegung nicht zu korrigieren ist (E. 3). Abweisung, soweit Eintreten.</w:t>
      </w:r>
    </w:p>
    <w:p>
      <w:pPr>
        <w:pStyle w:val="Heading2"/>
      </w:pPr>
      <w:r>
        <w:t>Erwägungen</w:t>
      </w:r>
    </w:p>
    <w:p>
      <w:r>
        <w:rPr>
          <w:b/>
        </w:rPr>
        <w:t>E. 4</w:t>
      </w:r>
    </w:p>
    <w:p>
      <w:r>
        <w:t>Die Beschwerde erweist sich infolge einer fehlenden Prozessvoraussetzung in der Hauptsache als offensichtlich unzulässig und damit als offensichtlich aussichtslos (vgl. Kaspar Plüss, in: Alain Griffel [Hrsg.], Kommentar zum Verwaltungsrechtpflegegesetz des Kantons Zürich [VRG], 3. A., Zürich etc. 2014, § 13 N. 90 ff. in Verbindung mit § 16 N. 52; VGr, 18. Dezember 2024, VB.2024.00749, E. 4). Deshalb sind die Gerichtskosten gestützt auf § 65a Abs. 2 in Verbindung mit § 13 Abs. 4 VRG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