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VB.2025.00015 vom 1. Juli 2025</w:t>
      </w:r>
    </w:p>
    <w:p>
      <w:r>
        <w:t>ZH Verwaltungsgericht, 2025-07-01, DE</w:t>
      </w:r>
    </w:p>
    <w:p>
      <w:r>
        <w:rPr>
          <w:b/>
        </w:rPr>
        <w:t xml:space="preserve">Quelle: </w:t>
      </w:r>
      <w:r>
        <w:t>https://mcp.opencaselaw.ch/entscheid/zh_verwaltungsgericht__VB.2025.00015</w:t>
      </w:r>
    </w:p>
    <w:p>
      <w:r>
        <w:t>FR: ZH_VERWALTUNGSGERICHT VB.2025.00015 du 1 juillet 2025</w:t>
      </w:r>
    </w:p>
    <w:p>
      <w:r>
        <w:t>IT: ZH_VERWALTUNGSGERICHT VB.2025.00015 del 1 luglio 2025</w:t>
      </w:r>
    </w:p>
    <w:p>
      <w:pPr>
        <w:pStyle w:val="Heading2"/>
      </w:pPr>
      <w:r>
        <w:t>Regeste</w:t>
      </w:r>
    </w:p>
    <w:p>
      <w:r>
        <w:t>Widerruf der Aufenthaltsbewilligung | [Widerruf der im Familiennachzug erteilten Aufenthaltsbewilligung infolge Aufgabe der ehelichen Gemeinschaft.] Zulässige antizipierte Beweiswürdigung der Vorinstanz, indem sie es unterlassen hat, die Scheidungsakten beizuziehen (E. 2). Kein Aufenthaltsanspruch basierend auf der Ehe mit einer Schweizer Staatsangehörigen mehr, da zwischenzeitlich die Scheidung erfolgt ist; sodann Ehedauer unter drei Jahren und keine gefährdete Wiedereingliederung im Heimatland wegen einer von der früheren Ehefrau vermeintlich geführten "Kampagne" zur Diskreditierung des Beschwerdeführers (E. 3).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und ist diesem keine Parteientschädigung zuzusprechen (§ 65a Abs. 2 in Verbindung mit § 13 Abs. 2 VRG; § 17 Abs. 2 VRG).</w:t>
      </w:r>
    </w:p>
    <w:p>
      <w:r>
        <w:rPr>
          <w:b/>
        </w:rPr>
        <w:t>E. 6</w:t>
      </w:r>
    </w:p>
    <w:p>
      <w:r>
        <w:t>Zur Rechtsmittelbelehrung des nachfolgenden Urteilsdispositivs ist Folgendes zu erläutern: Soweit ein Anwesenheitsanspruch des Beschwerdeführers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