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VB.2024.00768 vom 19. Dezember 2024</w:t>
      </w:r>
    </w:p>
    <w:p>
      <w:r>
        <w:t>ZH Verwaltungsgericht, 2024-12-19, DE</w:t>
      </w:r>
    </w:p>
    <w:p>
      <w:r>
        <w:rPr>
          <w:b/>
        </w:rPr>
        <w:t xml:space="preserve">Quelle: </w:t>
      </w:r>
      <w:r>
        <w:t>https://mcp.opencaselaw.ch/entscheid/zh_verwaltungsgericht__VB.2024.00768</w:t>
      </w:r>
    </w:p>
    <w:p>
      <w:r>
        <w:t>FR: ZH_VERWALTUNGSGERICHT VB.2024.00768 du 19 décembre 2024</w:t>
      </w:r>
    </w:p>
    <w:p>
      <w:r>
        <w:t>IT: ZH_VERWALTUNGSGERICHT VB.2024.00768 del 19 dicembre 2024</w:t>
      </w:r>
    </w:p>
    <w:p>
      <w:pPr>
        <w:pStyle w:val="Heading2"/>
      </w:pPr>
      <w:r>
        <w:t>Regeste</w:t>
      </w:r>
    </w:p>
    <w:p>
      <w:r>
        <w:t>Berufsausübungsverbot (aufschiebende Wirkung) | Berufsausübungsverbot (aufschiebende Wirkung). Der Streitgegenstand ist auf die Frage beschränkt, ob die Gesundheitsdirektion superprovisorisch die aufschiebende Wirkung des Rekurses hätte wiederherstellen müssen (E. 1.2). Bei der angefochtenen Verfügung handelt es sich um einen Zwischenentscheid. Ob dieser anfechtbar ist, kann offengelassen werden, da jedenfalls die Legitimation des Beschwerdeführers zu verneinen ist (E. 2.1). An der Anfechtung einer Verweigerung superprovisorischer Massnahmen besteht grundsätzlich kein Rechtsschutzinteresse, weil das Rechtsmittelverfahren in aller Regel nicht so rasch abgeschlossen werden kann, dass der behaupteten Dringlichkeit Rechnung getragen werden könnte. Vorliegend besteht kein Anlass, von diesem Grundsatz abzuweichen, zumal die superprovisorische Wiederherstellung der aufschiebenden Wirkung des Rekurses gar nicht mehr möglich ist, nachdem die Gesundheitsdirektion den Beschwerdegegner mit der angefochtenen Verfügung aufforderte, zum Antrag auf Wiederherstellung der aufschiebenden Wirkung des Rekurses Stellung zu nehmen. Die Gesundheitsdirektion wird, wenn sie dies nicht bereits getan hat, nun darüber zu befinden haben, ob die aufschiebende Wirkung des Rekurses (nun) im Sinn einer vorsorglichen Massnahme wiederherzustellen ist (E. 2.2). Nichteintreten.</w:t>
      </w:r>
    </w:p>
    <w:p>
      <w:pPr>
        <w:pStyle w:val="Heading2"/>
      </w:pPr>
      <w:r>
        <w:t>Erwägungen</w:t>
      </w:r>
    </w:p>
    <w:p>
      <w:r>
        <w:rPr>
          <w:b/>
        </w:rPr>
        <w:t>E. 3</w:t>
      </w:r>
    </w:p>
    <w:p>
      <w:r>
        <w:t>Ausgangsgemäss sind die Gerichtskosten dem Beschwerdeführer aufzuerlegen (§ 65a Abs. 2 in Verbindung mit § 13 Abs. 2 VRG). Eine Parteientschädigung steht ihm mangels Obsiegens nicht zu (§ 17 Abs. 2 VRG).</w:t>
      </w:r>
    </w:p>
    <w:p>
      <w:r>
        <w:rPr>
          <w:b/>
        </w:rPr>
        <w:t>E. 4</w:t>
      </w:r>
    </w:p>
    <w:p>
      <w:r>
        <w:t>Da die angefochtene Verfügung einen Zwischenentscheid darstellt (vorn E. 2.1), ist die vorliegende Verfügung dazu ihrerseits ein solcher; das Bundesgericht lässt sich daher nur unter den Voraussetzungen von Art. 93 Abs. 1 BGG anrufen (Bertschi, § 19a N. 31 f. und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