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VB.2024.00761 vom 10. Juli 2025</w:t>
      </w:r>
    </w:p>
    <w:p>
      <w:r>
        <w:t>ZH Verwaltungsgericht, 2025-07-10, DE</w:t>
      </w:r>
    </w:p>
    <w:p>
      <w:r>
        <w:rPr>
          <w:b/>
        </w:rPr>
        <w:t xml:space="preserve">Quelle: </w:t>
      </w:r>
      <w:r>
        <w:t>https://mcp.opencaselaw.ch/entscheid/zh_verwaltungsgericht__VB.2024.00761</w:t>
      </w:r>
    </w:p>
    <w:p>
      <w:r>
        <w:t>FR: ZH_VERWALTUNGSGERICHT VB.2024.00761 du 10 juillet 2025</w:t>
      </w:r>
    </w:p>
    <w:p>
      <w:r>
        <w:t>IT: ZH_VERWALTUNGSGERICHT VB.2024.00761 del 10 luglio 2025</w:t>
      </w:r>
    </w:p>
    <w:p>
      <w:pPr>
        <w:pStyle w:val="Heading2"/>
      </w:pPr>
      <w:r>
        <w:t>Regeste</w:t>
      </w:r>
    </w:p>
    <w:p>
      <w:r>
        <w:t>Einreise zum Verbleib bei der Ehegattin und der Tochter | [Verweigerte Aufenthaltsbewilligung im Familiennachzug nach siebenjährigem Auslandaufenthalt und damit verbundenem Erlöschen der ursprünglichen Aufenthaltsbewilligung des Beschwerdeführers.] Ordentliche Nachzugsfrist abgelaufen, keine neue Nachzugsfrist ausgelöst mit Ausreise des Beschwerdeführers in sein Heimatland und dem dortigen Verbleib während sieben Jahren (E. 2). Die räumliche Trennung des Beschwerdeführers von seinen hier niedergelassenen Angehörigen (Ehefrau und Tochter) ist gesamthaft betrachtet als freiwillig einzustufen, wichtige Gründe für einen nachträglichen Nachzug bleiben unbelegt (E. 3). Abweisung.</w:t>
      </w:r>
    </w:p>
    <w:p>
      <w:pPr>
        <w:pStyle w:val="Heading2"/>
      </w:pPr>
      <w:r>
        <w:t>Erwägungen</w:t>
      </w:r>
    </w:p>
    <w:p>
      <w:r>
        <w:rPr>
          <w:b/>
        </w:rPr>
        <w:t>E. 4</w:t>
      </w:r>
    </w:p>
    <w:p>
      <w:r>
        <w:t>Dieser Verfahrensausgang verletzt den Anspruch auf Schutz des Familienlebens nach Art. 8 Abs. 1 EMRK und Art. 13 Abs. 1 BV nicht. In einer Konstellation wie der vorliegenden, in der die familiären Beziehungen freiwillig während rund sieben Jahren über die Landesgrenzen hinweg gelebt wurden, überwiegt regelmässig das der ratio legis von Art. 47 Abs. 4 AIG zugrunde liegende legitime Interesse an der Einwanderungsbeschränkung. Es bestehen keine objektiven, nachvollziehbaren Gründe, welche zu einem anderen Ergebnis führen würden (vgl. BGr, 11. Juli 2019, 2C_481/2018, E. 6.2 – 21. September 2018, 2C_323/2018, E. 8.2.2 – 17. März 2017, 2C_348/2016, E. 2.3).</w:t>
      </w:r>
    </w:p>
    <w:p>
      <w:r>
        <w:rPr>
          <w:b/>
        </w:rPr>
        <w:t>E. 5</w:t>
      </w:r>
    </w:p>
    <w:p>
      <w:r>
        <w:t>Nach dem Gesagten ist die Beschwerde abzuweisen.</w:t>
      </w:r>
    </w:p>
    <w:p>
      <w:r>
        <w:rPr>
          <w:b/>
        </w:rPr>
        <w:t>E. 6</w:t>
      </w:r>
    </w:p>
    <w:p>
      <w:r>
        <w:t>Ausgangsgemäss sind die Gerichtskosten den Beschwerdeführenden aufzuerlegen (§ 65a Abs. 2 in Verbindung mit § 13 Abs. 1 Satz 2 VRG). Eine Parteientschädigung ist nicht zuzusprechen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82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