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VB.2024.00742 vom 30. Oktober 2025</w:t>
      </w:r>
    </w:p>
    <w:p>
      <w:r>
        <w:t>ZH Verwaltungsgericht, 2025-10-30, DE</w:t>
      </w:r>
    </w:p>
    <w:p>
      <w:r>
        <w:rPr>
          <w:b/>
        </w:rPr>
        <w:t xml:space="preserve">Quelle: </w:t>
      </w:r>
      <w:r>
        <w:t>https://mcp.opencaselaw.ch/entscheid/zh_verwaltungsgericht__VB.2024.00742</w:t>
      </w:r>
    </w:p>
    <w:p>
      <w:r>
        <w:t>FR: ZH_VERWALTUNGSGERICHT VB.2024.00742 du 30 octobre 2025</w:t>
      </w:r>
    </w:p>
    <w:p>
      <w:r>
        <w:t>IT: ZH_VERWALTUNGSGERICHT VB.2024.00742 del 30 ottobre 2025</w:t>
      </w:r>
    </w:p>
    <w:p>
      <w:pPr>
        <w:pStyle w:val="Heading2"/>
      </w:pPr>
      <w:r>
        <w:t>Regeste</w:t>
      </w:r>
    </w:p>
    <w:p>
      <w:r>
        <w:t>Informationszugang | [Einsichtnahme in Protokolle der Vorstandssitzungen der Konferenz der kantonalen Gesundheitsdirektorinnen und - direktoren (GDK).] Die interkantonale Zusammenarbeit in interkantonalen Gremien wie der GDK dient den Kantonen als Forum für den gegenseitigen Austausch und die Koordination. Das Interesse am Schutz des freien Meinungs- und Willensbildungsprozesses der Mitglieder der GDK ist gewichtig. Vorliegend haben eine Mehrheit der betroffenen Kantonsvertreter deutlich zum Ausdruck gebracht, dass die Veröffentlichung der Sitzungsprotokolle den Meinungs- und Willensbildungsprozess negativ tangieren würde und der vertrauensvollen interkantonalen Zusammenarbeit in der Gesundheitspolitik abträglich sei. Dies stellt ein legitimes öffentliches Interesse im Sinn von § 23 Abs. 1 lit. d IDG dar, das das private Interesse des Beschwerdeführers an der Offenlegung überwiegt (E. 3.3.3 und 3.4). Zugunsten des Beschwerdeführers fällt die Interessenabwägung hingegen aus, soweit es die in den Sitzungsprotokollen enthaltenen Beschlüsse betrifft, die keinen engen Zusammenhang zum jeweiligen Meinungs- und Willensbilungsprozess haben. Diesen Beschlüssen sind weder Rückschlüsse auf den vorgelagerten Meinungsbildungsprozess noch individuelle Meinungsäusserungen oder Voten zu entnehmen (E. 3.5). Teilweise Gutheissung.</w:t>
      </w:r>
    </w:p>
    <w:p>
      <w:pPr>
        <w:pStyle w:val="Heading2"/>
      </w:pPr>
      <w:r>
        <w:t>Erwägungen</w:t>
      </w:r>
    </w:p>
    <w:p>
      <w:r>
        <w:rPr>
          <w:b/>
        </w:rPr>
        <w:t>E. 4</w:t>
      </w:r>
    </w:p>
    <w:p>
      <w:r>
        <w:t>Nach § 65a Abs. 2 in Verbindung mit § 13 Abs. 2 Satz 1 VRG sind die Gerichtskosten den Parteien entsprechend ihrem Unterliegen aufzuerlegen. Die Beschwerde ist hinsichtlich der Gewährung der Einsicht in die Beschlüsse der März- und der Novembersitzung 2017 des GDK-Vorstands gutzuheissen, betreffend die Einsicht in den Inhalt der Protokolle der März- und der Novembersitzung 2017 hingegen abzuweisen. Bei diesem Verfahrensausgang rechtfertigt es sich, die Kosten des Rekurs- und des Beschwerdeverfahrens dem Beschwerdeführer und der Beschwerdegegnerin je zur Hälfte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