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VB.2024.00734 vom 30. Dezember 2024</w:t>
      </w:r>
    </w:p>
    <w:p>
      <w:r>
        <w:t>ZH Verwaltungsgericht, 2024-12-30, DE</w:t>
      </w:r>
    </w:p>
    <w:p>
      <w:r>
        <w:rPr>
          <w:b/>
        </w:rPr>
        <w:t xml:space="preserve">Quelle: </w:t>
      </w:r>
      <w:r>
        <w:t>https://mcp.opencaselaw.ch/entscheid/zh_verwaltungsgericht__VB.2024.00734</w:t>
      </w:r>
    </w:p>
    <w:p>
      <w:r>
        <w:t>FR: ZH_VERWALTUNGSGERICHT VB.2024.00734 du 30 décembre 2024</w:t>
      </w:r>
    </w:p>
    <w:p>
      <w:r>
        <w:t>IT: ZH_VERWALTUNGSGERICHT VB.2024.00734 del 30 dicembre 2024</w:t>
      </w:r>
    </w:p>
    <w:p>
      <w:pPr>
        <w:pStyle w:val="Heading2"/>
      </w:pPr>
      <w:r>
        <w:t>Regeste</w:t>
      </w:r>
    </w:p>
    <w:p>
      <w:r>
        <w:t>Bestätigung Ausschaffungshaft (G.-Nr. GI240174-L) | Bestätigung Ausschaffungshaft. Der Beschwerdeführer war bereits einmal untergetaucht, ein Haftgrund ist gegeben (E. 3.3). Der Vollzugsstopp ist dahingefallen, die Wegweisung kann vollzogen werden (E. 3.4). Sodann liegen lediglich geringe private Interessen des Beschwerdeführers an seiner Haftentlassung vor, welche die öffentlichen Interessen daran nicht zu überwiegen vermögen (E. 3.5).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aus der Türkei stammende Beschwerdeführer ersuchte am 11. Oktober 2023 um Asyl. Das Staatssekretariat für Migration (SEM) wies das Asylgesuch am 18. Dezember 2023 ab und wies den Beschwerdeführer aus der Schweiz weg; auf eine dagegen erhobene Beschwerde trat das Bundesverwaltungsgericht mit Urteil vom 15. Februar 2024 nicht ein. Sodann wurde die Ausreisefrist bis am 8. März 2024 angesetzt.</w:t>
      </w:r>
    </w:p>
    <w:p>
      <w:r>
        <w:rPr>
          <w:b/>
        </w:rPr>
        <w:t>E. 3.1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im Umkehrschluss) und die für die Weg- oder Ausweisung notwendigen Vorkehren umgehend getroffen werden (Art. 76 Abs. 4 AIG).</w:t>
      </w:r>
    </w:p>
    <w:p>
      <w:r>
        <w:rPr>
          <w:b/>
        </w:rPr>
        <w:t>E. 3.2</w:t>
      </w:r>
    </w:p>
    <w:p>
      <w:r>
        <w:t>Gegen den Beschwerdeführer liegt ein rechtskräftiger Wegweisungsentscheid vor (Entscheid des Bundesverwaltungsgerichts vom 15. Februar 2024 resp. Wegweisungsverfügung des SEM vom 18. Dezember 2023).</w:t>
      </w:r>
    </w:p>
    <w:p>
      <w:r>
        <w:rPr>
          <w:b/>
        </w:rPr>
        <w:t>E. 3.3</w:t>
      </w:r>
    </w:p>
    <w:p>
      <w:r>
        <w:t>Der Beschwerdegegner stützte die Anordnung der Ausschaffungshaft auf Art. 76 Abs. 1 lit. b Ziff. 3 und 4 AIG. Demnach kann eine Person in Haft genommen werden, wenn konkrete Anzeichen befürchten lassen, dass sie sich der Ausschaffung entziehen will, insbesondere, weil sie der Mitwirkungspflicht nach Art. 90 AIG sowie Art. 8 Abs. 1 lit. a oder Abs. 4 AsylG nicht nachkommt (Ziff. 3) oder ihr bisheriges Verhalten darauf schliessen lässt, dass sie sich behördlichen Anordnungen widersetzt (Ziff. 4).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130 II 56 E. 3.1). Der blosse Umstand, dass die betroffene Person innert der ihr gesetzten Frist das Land nicht verlassen hat, oder eine bloss abstrakte Vermutung, dass sie sich der Wegweisung entziehen könnte, genügen für sich alleine nicht; vielmehr muss die zuständige Behörde in jedem konkreten Fall aufgrund der verschiedenen Indizien eine individuelle Prognose stellen (BGE 143 II 113, nicht publizierte E. 2.1; BGE 140 II 1 E. 5.3). Der Beschwerdeführer ist bereits einmal untergetaucht und wurde von Deutschland zurück an die Schweiz überstellt. Ein Haftgrund ist daher gegeben.</w:t>
      </w:r>
    </w:p>
    <w:p>
      <w:r>
        <w:rPr>
          <w:b/>
        </w:rPr>
        <w:t>E. 3.4</w:t>
      </w:r>
    </w:p>
    <w:p>
      <w:r>
        <w:t>Der Beschwerdeführer bringt vor, die Wegweisung könne nicht vollzogen werden. Gestützt auf ein Wiedererwägungsgesuch des Beschwerdeführers vom 12. November 2024 hat das SEM das Migrationsamt im Sinn einer vorsorglichen Massnahme angewiesen, den Vollzug der Wegweisung einstweilen auszusetzen. Am 9. Dezember 2024 teilte das SEM dem Migrationsamt indes mit, dass das Wiedererwägungsgesuch abgewiesen wurde. Demgemäss ist der Vollzugsstopp wieder dahingefallen und die Wegweisung kann vollzogen werden.</w:t>
      </w:r>
    </w:p>
    <w:p>
      <w:r>
        <w:rPr>
          <w:b/>
        </w:rPr>
        <w:t>E. 3.5</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(BGr, 21. Juni 2018, 2C_466/2018, E. 5.2.1). Der Beschwerdeführer war zusammen mit seiner Familie fast ein halbes Jahr lang untergetaucht und hat überdies wiederholt zu verstehen gegeben, dass er nicht gewillt sei, seiner Rückreiseverpflichtung nachzukommen. Entsprechend verweigerte er bereits einmal den Einstieg in ein bereitstehendes Flugzeug nach Istanbul, weshalb die unbegleitete Rückführung nicht erfolgen konnte und die Flugtickets annulliert werden mussten. Die Haft erweist sich somit als geeignet und auch erforderlich, da vor diesem Hintergrund davon ausgegangen werden kann, dass mildere Mittel wie die Eingrenzung oder eine Meldepflicht den Wegweisungsvollzug nicht sicherzustellen vermöchten. Die ausländerrechtliche Haft bezweckt, den Vollzug einer Entfernungsmassnahme zu ermöglichen, und dient der Durchsetzung der objektiven Rechtsordnung. Daran besteht ein grosses öffentliches Interesse, weil Rechtsnormen faktisch ihre Bedeutung verlieren, wenn sie – auch gegen den Willen des Betroffenen – nicht durchgesetzt werden (Martin Businger, Ausländerrechtliche Haft, Zürich etc. 2015, S. 23). Das Interesse des Beschwerdeführers besteht allein im Erhalt seiner (Bewegungs-)Freiheit und der ungehinderten Pflege seiner Kontakte. Diese privaten Interessen des Beschwerdeführers an seiner Haftentlassung vermögen die öffentlichen Interessen nicht zu überwiegen, namentlich, weil dieser gemäss seinen eigenen Aussagen wie erwähnt nicht gewillt ist, in sein Heimatland zurückzukehren, und zeitweilig zusammen mit seiner Familie als verschwunden galt. Weitere Umstände, welche die Ausschaffungshaft als unverhältnismässig oder in anderer Weise rechtswidrig erscheinen lassen, sind weder ersichtlich noch werden sie vom Beschwerdeführer behauptet. Das Zwangsmassnahmengericht bestätigte damit die Anordnung der Ausschaffungshaft zu Recht. Damit ist die Beschwerde abzuweisen.</w:t>
      </w:r>
    </w:p>
    <w:p>
      <w:r>
        <w:rPr>
          <w:b/>
        </w:rPr>
        <w:t>E. 3.6</w:t>
      </w:r>
    </w:p>
    <w:p>
      <w:r>
        <w:t>Mit dem vorliegenden Entscheid wird das Gesuch des Beschwerdeführers um Erteilung der aufschiebenden Wirkung gegenstandslos.</w:t>
      </w:r>
    </w:p>
    <w:p>
      <w:r>
        <w:rPr>
          <w:b/>
        </w:rPr>
        <w:t>E. 4</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