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VB.2024.00685 vom 23. März 2021</w:t>
      </w:r>
    </w:p>
    <w:p>
      <w:r>
        <w:t>ZH Verwaltungsgericht, 2021-03-23, DE</w:t>
      </w:r>
    </w:p>
    <w:p>
      <w:r>
        <w:rPr>
          <w:b/>
        </w:rPr>
        <w:t xml:space="preserve">Quelle: </w:t>
      </w:r>
      <w:r>
        <w:t>https://mcp.opencaselaw.ch/entscheid/zh_verwaltungsgericht__VB.2024.00685</w:t>
      </w:r>
    </w:p>
    <w:p>
      <w:r>
        <w:t>FR: ZH_VERWALTUNGSGERICHT VB.2024.00685 du 23 mars 2021</w:t>
      </w:r>
    </w:p>
    <w:p>
      <w:r>
        <w:t>IT: ZH_VERWALTUNGSGERICHT VB.2024.00685 del 23 marzo 2021</w:t>
      </w:r>
    </w:p>
    <w:p>
      <w:pPr>
        <w:pStyle w:val="Heading2"/>
      </w:pPr>
      <w:r>
        <w:t>Regeste</w:t>
      </w:r>
    </w:p>
    <w:p>
      <w:r>
        <w:t>Löschung von Personendaten | [Der Beschwerdeführer reichte dem Kantonsrat seit dem Jahr 2012 verschiedene Einzelinitiativen ein; er ersucht darum, bei den von ihm eingereichten Einzelinitiativen seine Personendaten, jedenfalls aber seine Adresse zu löschen.] Das Ausstandsbegehren des Beschwerdeführers, das einzig institutionelle Ausstandsgründe anführt, erweist sich als unzulässig. Praxisgemäss kann darüber unter Beteiligung der vom Ausstandsgesuch betroffenen Mitglieder entschieden werden (E. 2). Die Verhandlungen des Kantonsrats sind gemäss Art. 53 KV öffentlich. Im Sinn dieses verfassungsrechtlichen Gebots werden u. a. die dem Kantonsrat von seinen Organen unterbreiteten Anträge und Berichte veröffentlicht (§ 7 Abs. 2 KRG). Damit liegt eine hinreichende Rechtsgrundlage vor, um die Einzelinitiativen des Beschwerdeführers in vollem Wortlaut zu veröffentlichen, was auch den Namen des Beschwerdeführers und dessen Adresse einschliesst. Entgegen der Auffassung des Beschwerdeführers unterliegt die Öffentlichkeit der Verhandlungen des Kantonsrats auch keiner zeitlichen Einschränkung (E. 3.4). Gegenstandslosigkeit des Gesuchs um UP. Abweisung.</w:t>
      </w:r>
    </w:p>
    <w:p>
      <w:pPr>
        <w:pStyle w:val="Heading2"/>
      </w:pPr>
      <w:r>
        <w:t>Erwägungen</w:t>
      </w:r>
    </w:p>
    <w:p>
      <w:r>
        <w:rPr>
          <w:b/>
        </w:rPr>
        <w:t>E. 4</w:t>
      </w:r>
    </w:p>
    <w:p>
      <w:r>
        <w:t>Nach dem Gesagten ist die Beschwerde abzuweisen.</w:t>
      </w:r>
    </w:p>
    <w:p>
      <w:r>
        <w:rPr>
          <w:b/>
        </w:rPr>
        <w:t>E. 5.1</w:t>
      </w:r>
    </w:p>
    <w:p>
      <w:r>
        <w:t>Da es im Hintergrund um die Ausübung politischer Rechte geht, sind die Gerichtskosten in analoger Anwendung von § 65a Abs. 2 in Verbindung mit § 13 Abs. 4 VRG auf die Gerichtskasse zu nehmen. Mangels Kostenbelastung ist das Gesuch des Beschwerdeführers um unentgeltliche Prozessführung für das Beschwerdeverfahren als gegenstandslos geworden abzuschreiben.</w:t>
      </w:r>
    </w:p>
    <w:p>
      <w:r>
        <w:rPr>
          <w:b/>
        </w:rPr>
        <w:t>E. 5.2</w:t>
      </w:r>
    </w:p>
    <w:p>
      <w:r>
        <w:t>Der in ihrem amtlichen Wirkungskreis tätig gewordenen Beschwerdegegnerin steht praxisgemäss keine Parteientschädigung zu (VGr, 23. März 2021, AN.2020.00021, E. 2 Abs.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