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ZH_VERWALTUNGSGERICHT VB.2024.00653 vom 17. Dezember 2024</w:t>
      </w:r>
    </w:p>
    <w:p>
      <w:r>
        <w:t>ZH Verwaltungsgericht, 2024-12-17, DE</w:t>
      </w:r>
    </w:p>
    <w:p>
      <w:r>
        <w:rPr>
          <w:b/>
        </w:rPr>
        <w:t xml:space="preserve">Quelle: </w:t>
      </w:r>
      <w:r>
        <w:t>https://mcp.opencaselaw.ch/entscheid/zh_verwaltungsgericht__VB.2024.00653</w:t>
      </w:r>
    </w:p>
    <w:p>
      <w:r>
        <w:t>FR: ZH_VERWALTUNGSGERICHT VB.2024.00653 du 17 décembre 2024</w:t>
      </w:r>
    </w:p>
    <w:p>
      <w:r>
        <w:t>IT: ZH_VERWALTUNGSGERICHT VB.2024.00653 del 17 dicembre 2024</w:t>
      </w:r>
    </w:p>
    <w:p>
      <w:pPr>
        <w:pStyle w:val="Heading2"/>
      </w:pPr>
      <w:r>
        <w:t>Regeste</w:t>
      </w:r>
    </w:p>
    <w:p>
      <w:r>
        <w:t>Verstoss gegen Arealverbot/Kostenauflage (Revision) | Die Beschwerdeführerin erklärte innert der ihr angesetzten Nachfrist nicht, wogegen sich ihre "Einsprache" richtet. Auf die Beschwerde ist daher androhungsgemäss nicht einzutreten.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Ausgangsgemäss sind die Verfahrenskosten der Beschwerdeführerin aufzuerlegen (§ 65a Abs. 2 in Verbindung mit § 13 Abs. 2 Satz 1 VRG).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