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VB.2024.00647 vom 23. Oktober 2025</w:t>
      </w:r>
    </w:p>
    <w:p>
      <w:r>
        <w:t>ZH Verwaltungsgericht, 2025-10-23, DE</w:t>
      </w:r>
    </w:p>
    <w:p>
      <w:r>
        <w:rPr>
          <w:b/>
        </w:rPr>
        <w:t xml:space="preserve">Quelle: </w:t>
      </w:r>
      <w:r>
        <w:t>https://mcp.opencaselaw.ch/entscheid/zh_verwaltungsgericht__VB.2024.00647</w:t>
      </w:r>
    </w:p>
    <w:p>
      <w:r>
        <w:t>FR: ZH_VERWALTUNGSGERICHT VB.2024.00647 du 23 octobre 2025</w:t>
      </w:r>
    </w:p>
    <w:p>
      <w:r>
        <w:t>IT: ZH_VERWALTUNGSGERICHT VB.2024.00647 del 23 ottobre 2025</w:t>
      </w:r>
    </w:p>
    <w:p>
      <w:pPr>
        <w:pStyle w:val="Heading2"/>
      </w:pPr>
      <w:r>
        <w:t>Regeste</w:t>
      </w:r>
    </w:p>
    <w:p>
      <w:r>
        <w:t>Familiennachzug | Entgegen den Vorinstanzen liegt bei summarischer Prüfung ein Aufenthaltsanspruch der minderjährigen Söhne des Beschwerdeführers vor, weshalb Art. 14 Abs. 1 AsylG der Prüfung ihrer Gesuche um Aufenthaltsbewilligungen nicht entgegensteht. Von einer Rückweisung der Sache ist jedoch abzusehen (E. 2.3). Das Familiennachzugsgesuch für D ist bereits mangels beabsichtigter Haushaltsgemeinschaft abzuweisen. Eine Prüfung der weiteren Voraussetzungen erübrigt sich (E. 3.3.1). Die Nachzugsfrist für C ist längst abgelaufen (E. 3.3.2) und es sind keine wichtigen familiären Gründe für den nachträglichen Familiennachzug dargetan (E. 3.3.4). Abweisung.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Nach dem Gesagten ist die Beschwerde abzuweisen.</w:t>
      </w:r>
    </w:p>
    <w:p>
      <w:r>
        <w:rPr>
          <w:b/>
        </w:rPr>
        <w:t>E. 5</w:t>
      </w:r>
    </w:p>
    <w:p>
      <w:r>
        <w:t>Ausgangsgemäss sind die Gerichtskosten dem Beschwerdeführer aufzuerlegen und steht ihm keine Parteientschädigung zu (§ 65a Abs. 2 in Verbindung mit § 13 Abs. 2 Satz 1 und § 17 Abs. 2 VRG).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