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VB.2024.00611 vom 5. September 2024</w:t>
      </w:r>
    </w:p>
    <w:p>
      <w:r>
        <w:t>ZH Verwaltungsgericht, 2024-09-05, DE</w:t>
      </w:r>
    </w:p>
    <w:p>
      <w:r>
        <w:rPr>
          <w:b/>
        </w:rPr>
        <w:t xml:space="preserve">Quelle: </w:t>
      </w:r>
      <w:r>
        <w:t>https://mcp.opencaselaw.ch/entscheid/zh_verwaltungsgericht__VB.2024.00611</w:t>
      </w:r>
    </w:p>
    <w:p>
      <w:r>
        <w:t>FR: ZH_VERWALTUNGSGERICHT VB.2024.00611 du 5 septembre 2024</w:t>
      </w:r>
    </w:p>
    <w:p>
      <w:r>
        <w:t>IT: ZH_VERWALTUNGSGERICHT VB.2024.00611 del 5 settembre 2024</w:t>
      </w:r>
    </w:p>
    <w:p>
      <w:pPr>
        <w:pStyle w:val="Heading2"/>
      </w:pPr>
      <w:r>
        <w:t>Regeste</w:t>
      </w:r>
    </w:p>
    <w:p>
      <w:r>
        <w:t>Abweisung und Sperre vom Studium / Teilweise Wiederaufnahme von VB.2023.00391 | [Das Verwaltungsgericht schützte mit Urteil vom 30. August 2023 im Verfahren VB.2023.00391 das vorinstanzliche Nichteintreten auf den vom Mitbeteiligten eingereichten Rekurs der Beschwerdeführerin, da die Rekurseingabe lediglich eine elektronische Signatur und die Kopie einer Unterschrift trug und die formalen Anforderungen von § 22 Abs. 1 VRG damit nicht erfüllt waren. Die Kosten des Rekursverfahrens auferlegte das Gericht dem Mitbeteiligten, weil er zuvor mehrfach auf die formalen Anforderungen hingewiesen und ihm ein sofortiges Nichteintreten auf eine weitere nicht eigenhändig unterzeichnete Rekurseingabe ausdrücklich angedroht worden war. Eine dagegen erhobene Beschwerde hiess das Bundesgericht gut und wies die Angelegenheit ans Verwaltungsgericht zurück, um dem Mitbeteiligten das rechtliche Gehör betreffend die Auferlegung der Rekurskosten zu gewähren.] Entgegen dem Mitbeteiligten besteht mit § 13 Abs. 2 VRG eine genügende gesetzliche Grundlage für eine Kostenauflage nach dem Verursacherprinzip (auch) an eine Rechtsanwältin bzw. an einen Rechtsanwalt (E. 3.2.1). Vorliegend ist ein Fall für eine ausnahmsweise Auflage der Rekurskosten an den Rechtsvertreter gegeben; die weiteren Einwendungen des Mitbeteiligten verfangen nicht (E. 3.2.2 ff.). Teilweise Gutheissung. In Abänderung von Dispositiv-Ziff. III der Präsidialverfügung der Rekurskommission der Zürcher Hochschulen vom 15. Juni 2023 werden die Rekurskosten dem Mitbeteiligten auferlegt.</w:t>
      </w:r>
    </w:p>
    <w:p>
      <w:pPr>
        <w:pStyle w:val="Heading2"/>
      </w:pPr>
      <w:r>
        <w:t>Erwägungen</w:t>
      </w:r>
    </w:p>
    <w:p>
      <w:r>
        <w:rPr>
          <w:b/>
        </w:rPr>
        <w:t>E. 4</w:t>
      </w:r>
    </w:p>
    <w:p>
      <w:r>
        <w:t>Nach dem Gesagten ist die Beschwerde teilweise gutzuheissen und sind die Rekurskosten in Abänderung von Dispositiv-Ziff. III der Präsidialverfügung der Rekurskommission der Zürcher Hochschulen vom 15. Juni 2023 Rechtsanwalt Dr. B aufzuerlegen.</w:t>
      </w:r>
    </w:p>
    <w:p>
      <w:r>
        <w:rPr>
          <w:b/>
        </w:rPr>
        <w:t>E. 5</w:t>
      </w:r>
    </w:p>
    <w:p>
      <w:r>
        <w:t>Die Gerichtskosten des Verfahrens VB.2024.00611 sind auf die Gerichtskasse zu nehmen. Parteientschädigungen wurden nicht beantragt. Dem Mitbeteiligten stünde aber schon aufgrund des Ausgangs des Verfahrens sowie des Umstands, dass er sich selbst vertritt, keine Entschädigung zu.</w:t>
      </w:r>
    </w:p>
    <w:p>
      <w:r>
        <w:rPr>
          <w:b/>
        </w:rPr>
        <w:t>E. 6</w:t>
      </w:r>
    </w:p>
    <w:p>
      <w:r>
        <w:t>Die Beschwerde in öffentlich-rechtlichen Angelegenheiten gemäss Art. 82 ff. des Bundesgerichtsgesetzes vom 17. Juni 2005 (SR 173.110) steht auch gegen den vorliegenden Entscheid offen (so bereits BGr, 5. September 2024, 2C_536/2023,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