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VB.2024.00573 vom 3. April 2023</w:t>
      </w:r>
    </w:p>
    <w:p>
      <w:r>
        <w:t>ZH Verwaltungsgericht, 2023-04-03, DE</w:t>
      </w:r>
    </w:p>
    <w:p>
      <w:r>
        <w:rPr>
          <w:b/>
        </w:rPr>
        <w:t xml:space="preserve">Quelle: </w:t>
      </w:r>
      <w:r>
        <w:t>https://mcp.opencaselaw.ch/entscheid/zh_verwaltungsgericht__VB.2024.00573</w:t>
      </w:r>
    </w:p>
    <w:p>
      <w:r>
        <w:t>FR: ZH_VERWALTUNGSGERICHT VB.2024.00573 du 3 avril 2023</w:t>
      </w:r>
    </w:p>
    <w:p>
      <w:r>
        <w:t>IT: ZH_VERWALTUNGSGERICHT VB.2024.00573 del 3 aprile 2023</w:t>
      </w:r>
    </w:p>
    <w:p>
      <w:pPr>
        <w:pStyle w:val="Heading2"/>
      </w:pPr>
      <w:r>
        <w:t>Regeste</w:t>
      </w:r>
    </w:p>
    <w:p>
      <w:r>
        <w:t>Widerruf der Aufenthaltsbewilligung EU/EFTA (aufschiebende Wirkung) | Der Beschwerdeführer, ein Staatsangehöriger Kosovos, gab im Rahmen seines Gesuchs vom 3. April 2023 um Erteilung einer Aufenthaltsbewilligung EU/EFTA an, Slowene zu sein, und wies sich mit einem slowenischen Pass aus. Die Verwendung des später als Totalfälschung erkannten Passes mit Ausstelldatum 27. April 2022 ermöglichte es ihm, von der günstigeren ausländerrechtlichen Freizügigkeitsregelung zu profitieren. Mit der Vorinstanz und dem SEM ist davon auszugehen, dass von dem Beschwerdeführer eine unmittelbare Gefahr für die öffentliche Ordnung ausgeht. Seinem Rekurs scheinen zudem kaum Aussichten auf Erfolg beschieden. Der Entzug der aufschiebenden Wirkung des Rekurses bzw. die Verweigerung von deren Wiederherstellung erweist sich demnach als rechtmässig (zum Ganzen E. 2). Abweisung.</w:t>
      </w:r>
    </w:p>
    <w:p>
      <w:pPr>
        <w:pStyle w:val="Heading2"/>
      </w:pPr>
      <w:r>
        <w:t>Erwägungen</w:t>
      </w:r>
    </w:p>
    <w:p>
      <w:r>
        <w:rPr>
          <w:b/>
        </w:rPr>
        <w:t>E. 4</w:t>
      </w:r>
    </w:p>
    <w:p>
      <w:r>
        <w:t>Ausgangsgemäss sind die Kosten des Beschwerdeverfahrens dem Beschwerdeführer aufzuerlegen (§ 65a Abs. 2 in Verbindung mit § 13 Abs. 2 Satz 1 VRG). Ihm steht keine Parteientschädigung zu (§ 17 Abs. 2 lit. a VRG).</w:t>
      </w:r>
    </w:p>
    <w:p>
      <w:r>
        <w:rPr>
          <w:b/>
        </w:rPr>
        <w:t>E. 5</w:t>
      </w:r>
    </w:p>
    <w:p>
      <w:r>
        <w:t>Da die vorinstanzliche Verfügung einen Zwischenentscheid darstellt, ist das vorliegende Urteil ebenfalls ein solcher (Bertschi, § 19a N. 32).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 Soweit ein Anwesenheitsanspruch des Beschwerdeführers geltend gemacht wird, ist die Beschwerde in öffentlich-rechtlichen Angelegenheiten nach Art. 82 ff. BGG zu ergreifen. Ansonsten steht die subsidiäre Verfassungsbeschwerde gemäss Art. 113 ff. BGG offen (siehe Art. 83 lit. c Ziff. 1 und Ziff. 2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