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VB.2024.00569 vom 14. August 2025</w:t>
      </w:r>
    </w:p>
    <w:p>
      <w:r>
        <w:t>ZH Verwaltungsgericht, 2025-08-14, DE</w:t>
      </w:r>
    </w:p>
    <w:p>
      <w:r>
        <w:rPr>
          <w:b/>
        </w:rPr>
        <w:t xml:space="preserve">Quelle: </w:t>
      </w:r>
      <w:r>
        <w:t>https://mcp.opencaselaw.ch/entscheid/zh_verwaltungsgericht__VB.2024.00569</w:t>
      </w:r>
    </w:p>
    <w:p>
      <w:r>
        <w:t>FR: ZH_VERWALTUNGSGERICHT VB.2024.00569 du 14 août 2025</w:t>
      </w:r>
    </w:p>
    <w:p>
      <w:r>
        <w:t>IT: ZH_VERWALTUNGSGERICHT VB.2024.00569 del 14 agosto 2025</w:t>
      </w:r>
    </w:p>
    <w:p>
      <w:pPr>
        <w:pStyle w:val="Heading2"/>
      </w:pPr>
      <w:r>
        <w:t>Regeste</w:t>
      </w:r>
    </w:p>
    <w:p>
      <w:r>
        <w:t>Mobilfunkantenne | Ummantelung einer Mobilfunkantenne. Eine Bauverweigerung oder auch – wie im vorliegenden Fall – die Anordnung einer Nebenbestimmung zur Verbesserung der Einordnung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(E. 4.2). In Anbetracht der Umgebung sowie der Grösse des Standortgebäudes sticht die Mobilfunk-Antennenanlage nicht in einem Mass heraus, dass eine befriedigende Einordnung verneint werden müsste. Demgemäss besteht kein Anspruch auf eine Ummantelung der Antenne (E. 4.4).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Weil auch die übrigen Sachurteilsvoraussetzungen erfüllt sind, ist auf die Beschwerde einzutreten.</w:t>
      </w:r>
    </w:p>
    <w:p>
      <w:r>
        <w:rPr>
          <w:b/>
        </w:rPr>
        <w:t>E. 1.1</w:t>
      </w:r>
    </w:p>
    <w:p>
      <w:r>
        <w:t>A, 1.2  B, 2.    C, 3.    D, 4.1  E, 4.2  F, alle vertreten durch RA G, Beschwerdeführende, gegen</w:t>
      </w:r>
    </w:p>
    <w:p>
      <w:r>
        <w:rPr>
          <w:b/>
        </w:rPr>
        <w:t>E. 2</w:t>
      </w:r>
    </w:p>
    <w:p>
      <w:r>
        <w:t>Das Baugrundstück Kat.-Nr. 01 liegt in der Wohnzone W5 gemäss der Bau- und Zonenordnung der Stadt Zürich und ist mit einem Wohnhaus überstellt. Geplant ist der Rückbau der auf dem Dach des Standortgebäudes bestehenden Mobilfunk-Antennenanlage und der Neubau einer Antennenanlage an der gleichen Stelle. Im Gegensatz zur rückzubauenden Antennenanlage soll die neue Antennenanlage über keine "GFK-Rohrverkleidung" mehr verfügen.</w:t>
      </w:r>
    </w:p>
    <w:p>
      <w:r>
        <w:rPr>
          <w:b/>
        </w:rPr>
        <w:t>E. 3</w:t>
      </w:r>
    </w:p>
    <w:p>
      <w:r>
        <w:t>Die Beschwerdeführenden beantragen einen Augenschein.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 namentlich anhand der anlässlich des vorinstanzlichen Augenscheins erstellten – Fotografien, welche die tatsächlichen Verhältnisse in ausreichendem Umfang wiedergeben, möglich. Damit und zusammen mit den übrigen Akten ist der Sachverhalt rechtsgenügend erstellt; auf einen Augenschein ist zu verzichten.</w:t>
      </w:r>
    </w:p>
    <w:p>
      <w:r>
        <w:rPr>
          <w:b/>
        </w:rPr>
        <w:t>E. 4.1</w:t>
      </w:r>
    </w:p>
    <w:p>
      <w:r>
        <w:t>Die Beschwerdeführenden rügen, die geplante Mobilfunk-Antennenanlage benötige eine Ummantelung, da sie ansonsten wuchtig und abschreckend in Erscheinung trete. Die Umgebung habe einen ästhetisch ansprechenden, homogenen Charakter, in welchen sich die neue Anlage ohne Ummantelung nicht befriedigend einordnen würde. Die Beschwerdegegnerin 2 habe ihr Ermessen unterschritten, indem sie keine Ummantelung verlangt habe, da die Antenne ohne Ummantelung entgegen der Baubewilligung auffällig sei. Sodann habe die Vorinstanz das Bedürfnis der Öffentlichkeit nach einer weiterhin nicht abschreckend und wuchtig in Erscheinung tretenden Antennenanlage nicht umfassend gewürdigt.</w:t>
      </w:r>
    </w:p>
    <w:p>
      <w:r>
        <w:rPr>
          <w:b/>
        </w:rPr>
        <w:t>E. 4.2</w:t>
      </w:r>
    </w:p>
    <w:p>
      <w:r>
        <w:t>Gemäss § 238 Abs. 1 des Planungs- und Baugesetzes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18. Dezember 2019, VB.2019.00217, E. 5.2; 8. Mai 2014, VB.2013.00380, E. 8.1 mit weiteren Hinweisen). Eine Bauverweigerung oder auch – wie im vorliegenden Fall – die Anordnung einer Nebenbestimmung zur Verbesserung der Einordnung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4.3</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 oder unterschritten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4.4</w:t>
      </w:r>
    </w:p>
    <w:p>
      <w:r>
        <w:t>Die geplante Mobilfunk-Antennenanlage ist 7 m hoch und soll ca. 4 m vom Dachrand des rund 15 m hohen Standortgebäudes entfernt positioniert werden. Wenn die Vorinstanz der Umgebung der geplanten Mobilfunk-Antennenanlage eine gewisse Heterogenität mit verschiedenen Volumen, Fassadengestaltungen und Dachformen zuspricht, ist dies nicht zu beanstanden, wenngleich sich in der Umgebung diverse Jugendstilhäuser befinden. In städtischen Gebieten wie dem vorliegenden gehören technische Aufbauten wie Mobilfunkantennen mittlerweile zum Stadtbild dazu. Die rund 7 m hohe Mobilfunk-Antennenanlage wirkt aufgrund ihrer Höhe sowie der vom Dachrand zurückversetzten Lage auch im Verhältnis zum rund 15 m hohen Standortgebäude nicht unproportional bzw. wuchtig oder aufdringlich, sondern fügt sich noch in das Stadtbild ein. In Anbetracht der Umgebung sowie der Grösse des Standortgebäudes sticht die Mobilfunk-Antennenanlage nicht in einem Mass heraus, dass eine befriedigende Einordnung verneint werden müsste. Eine Ermessensunterschreitung durch die Beschwerdegegnerin 2 liegt nicht vor. Demgemäss besteht kein Anspruch auf eine Ummantelung der Antenne. Schliesslich ist auch nicht zu erkennen, inwiefern die Ummantelung eine Verbesserung der Einordung bewirken könnte. Zu beachten ist nämlich, dass eine solche Ummantelung nicht nur den Antennenmast, sondern auch die am Mast angebrachten Antennen umfassen müsste. Aufgrund der weiten Auskragung der Antennen müsste die Ummantelung einen Durchmesser von rund 2 m aufweisen. Eine im Ergebnis rund 7 m hohe und 2 m breite Ummantelung würde sich aufgrund ihrer Dimensionen vorliegend in gestalterischer Hinsicht störend auswirken.</w:t>
      </w:r>
    </w:p>
    <w:p>
      <w:r>
        <w:rPr>
          <w:b/>
        </w:rPr>
        <w:t>E. 4.5</w:t>
      </w:r>
    </w:p>
    <w:p>
      <w:r>
        <w:t>Gestützt auf die vorstehenden Ausführungen ist die Beschwerde abzuweisen.</w:t>
      </w:r>
    </w:p>
    <w:p>
      <w:r>
        <w:rPr>
          <w:b/>
        </w:rPr>
        <w:t>E. 5</w:t>
      </w:r>
    </w:p>
    <w:p>
      <w:r>
        <w:t>Ausgangsgemäss sind die Gerichtskosten den Beschwerdeführenden aufzuerlegen (§ 65a Abs. 2 in Verbindung mit § 13 Abs. 2 Satz 1 VRG). Eine Parteientschädigung steht ihnen nicht zu. Hingegen sind sie zu verpflichten, der privaten Beschwerdegegnerin 1 eine solche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