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VB.2024.00501 vom 27. März 2025</w:t>
      </w:r>
    </w:p>
    <w:p>
      <w:r>
        <w:t>ZH Verwaltungsgericht, 2025-03-27, DE</w:t>
      </w:r>
    </w:p>
    <w:p>
      <w:r>
        <w:rPr>
          <w:b/>
        </w:rPr>
        <w:t xml:space="preserve">Quelle: </w:t>
      </w:r>
      <w:r>
        <w:t>https://mcp.opencaselaw.ch/entscheid/zh_verwaltungsgericht__VB.2024.00501</w:t>
      </w:r>
    </w:p>
    <w:p>
      <w:r>
        <w:t>FR: ZH_VERWALTUNGSGERICHT VB.2024.00501 du 27 mars 2025</w:t>
      </w:r>
    </w:p>
    <w:p>
      <w:r>
        <w:t>IT: ZH_VERWALTUNGSGERICHT VB.2024.00501 del 27 marzo 2025</w:t>
      </w:r>
    </w:p>
    <w:p>
      <w:pPr>
        <w:pStyle w:val="Heading2"/>
      </w:pPr>
      <w:r>
        <w:t>Regeste</w:t>
      </w:r>
    </w:p>
    <w:p>
      <w:r>
        <w:t>Erteilung einer Aufenthaltsbewilligung (Umwandlung F in B) | [Gesuch einer seit fast 30 Jahren in der Schweiz vorläufig aufgenommenen und mittlerweile im Pensionsalter stehenden Somalierin auf Erteilung einer Aufenthaltsbewilligung.] Ob vorliegend ein Anspruch auf Erteilung einer Aufenthaltsbewilligung gestützt auf das Recht auf Privatleben nach Art. 8 Abs. 1 EMRK besteht, kann offenbleiben (E. 2.1). Die Beschwerdeführerin ist sprachlich und sozial besser integriert, als dies die Vorinstanz feststellte (3.3.1-3.3.2). Die fehlende wirtschaftliche Integration kann nicht ihr (allein) angelastet werden. Sie zog sieben Kinder gross und wurde von der Sozialhilfe nie zur Aufnahme einer Erwerbstätigkeit angehalten (E. 3.3.4). Vor diesem Hintergrund erweist sich die Verweigerung der Aufenthaltsbewilligung im Rahmen des pflichtgemässen Ermessens durch das Migrationsamt und die Vorinstanz als rechtsverletzend (E. 3.4). Gutheissung. Gutheissung UP/URB.</w:t>
      </w:r>
    </w:p>
    <w:p>
      <w:pPr>
        <w:pStyle w:val="Heading2"/>
      </w:pPr>
      <w:r>
        <w:t>Erwägungen</w:t>
      </w:r>
    </w:p>
    <w:p>
      <w:r>
        <w:rPr>
          <w:b/>
        </w:rPr>
        <w:t>E. 4</w:t>
      </w:r>
    </w:p>
    <w:p>
      <w:r>
        <w:t>Nach dem Gesagten ist die Beschwerde gutzuheissen.</w:t>
      </w:r>
    </w:p>
    <w:p>
      <w:r>
        <w:rPr>
          <w:b/>
        </w:rPr>
        <w:t>E. 5.1</w:t>
      </w:r>
    </w:p>
    <w:p>
      <w:r>
        <w:t>Ausgangsgemäss sind die Kosten des Rekurs- und des Beschwerdeverfahrens dem Beschwerdegegner aufzuerlegen (§ 13 Abs. 2 Satz 1 teilweise in Verbindung mit § 65a Abs. 2 VRG). Desgleichen hat dieser dem Rechtsvertreter der Beschwerdeführerin eine angemessene Parteientschädigung von Fr. 2'000.- für das Rekurs- und Fr. 1'500.- zuzüglich Mehrwertsteuer für das Beschwerdeverfahren zu bezahlen (§ 17 Abs. 2 lit. a VRG). Die Parteientschädigung für das Rekursverfahren ist allenfalls mit der bereits empfangenen Entschädigung als unentgeltlicher Rechtsbeistand für das Rekursverfahren zu verrechnen.</w:t>
      </w:r>
    </w:p>
    <w:p>
      <w:r>
        <w:rPr>
          <w:b/>
        </w:rPr>
        <w:t>E. 5.2</w:t>
      </w:r>
    </w:p>
    <w:p>
      <w:r>
        <w:t>Die Beschwerdeführerin ersucht auch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Die Beschwerdeführerin ist offenkundig mittellos, die Rechtsmittelerhebung war begründet, und die Rechtsvertretung erweist sich angesichts der sich stellenden Rechtsfragen als notwendig. Demnach ist der Beschwerdeführerin die unentgeltliche Rechtsverbeiständung für das Beschwerdeverfahren zu gewähren und ihr in der Person von Rechtsanwalt B ein unentgeltlicher Rechtsbeistand für das Beschwerdeverfahren beizugeben.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Rechtsanwalt B macht einen Aufwand von 9 h und 30 min sowie Spesen im Betrag von Fr. 62.70 geltend. Das ist angemessen. Damit ist Rechtsanwalt B unter Anrechnung der Parteientschädigung von Fr. 1'500.- für das Beschwerdeverfahren mit Fr. 705.80 (inklusive Mehrwertsteuer) aus der Gerichtskasse zu entschädigen.</w:t>
      </w:r>
    </w:p>
    <w:p>
      <w:r>
        <w:rPr>
          <w:b/>
        </w:rPr>
        <w:t>E. 5.4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