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VB.2024.00439 vom 29. Juli 2024</w:t>
      </w:r>
    </w:p>
    <w:p>
      <w:r>
        <w:t>ZH Verwaltungsgericht, 2024-07-29, DE</w:t>
      </w:r>
    </w:p>
    <w:p>
      <w:r>
        <w:rPr>
          <w:b/>
        </w:rPr>
        <w:t xml:space="preserve">Quelle: </w:t>
      </w:r>
      <w:r>
        <w:t>https://mcp.opencaselaw.ch/entscheid/zh_verwaltungsgericht__VB.2024.00439</w:t>
      </w:r>
    </w:p>
    <w:p>
      <w:r>
        <w:t>FR: ZH_VERWALTUNGSGERICHT VB.2024.00439 du 29 juillet 2024</w:t>
      </w:r>
    </w:p>
    <w:p>
      <w:r>
        <w:t>IT: ZH_VERWALTUNGSGERICHT VB.2024.00439 del 29 luglio 2024</w:t>
      </w:r>
    </w:p>
    <w:p>
      <w:pPr>
        <w:pStyle w:val="Heading2"/>
      </w:pPr>
      <w:r>
        <w:t>Regeste</w:t>
      </w:r>
    </w:p>
    <w:p>
      <w:r>
        <w:t>Staatshaftung (Sistierung des Rekursverfahrens) | [Die Vorinstanz wies ein Gesuch um (weitere) Sistierung des Verfahrens ab.] Zwischenentscheide betreffend Sistierung sind nur anfechtbar, wenn sie einen nicht wiedergutzumachenden Nachteil bewirken können. Es ist weder dargetan noch ersichtlich, inwiefern hier ein nicht wiedergutzumachender Nachteil drohen könnte. Nichteintreten.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Weil der Streitwert in der Hauptsache mehr als Fr. 30'000.- beträgt (siehe vorne unter II), ist das Verfahren kostenpflichtig (§ 65a Abs. 3 e contrario VRG). Ausgangsgemäss sind die Gerichtskosten dem Beschwerdeführer aufzuerlegen (§ 65a Abs. 2 in Verbindung mit § 13 Abs. 2 Satz 1 VRG).</w:t>
      </w:r>
    </w:p>
    <w:p>
      <w:r>
        <w:rPr>
          <w:b/>
        </w:rPr>
        <w:t>E. 5</w:t>
      </w:r>
    </w:p>
    <w:p>
      <w:r>
        <w:t>Zur Rechtsmittelbelehrung des nachfolgenden Dispositivs ist Folgendes zu erläutern: Da die vorinstanzliche Verfügung einen Zwischenentscheid darstellt, ist die vorliegende ihrerseits ein solcher. Das Bundesgericht lässt sich daher im Sinn des Art. 93 Abs. 1 lit. a BGG nur anrufen, wenn ein nicht wiedergutzumachender Nachteil drohte.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