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VB.2024.00429 vom 6. Februar 2025</w:t>
      </w:r>
    </w:p>
    <w:p>
      <w:r>
        <w:t>ZH Verwaltungsgericht, 2025-02-06, DE</w:t>
      </w:r>
    </w:p>
    <w:p>
      <w:r>
        <w:rPr>
          <w:b/>
        </w:rPr>
        <w:t xml:space="preserve">Quelle: </w:t>
      </w:r>
      <w:r>
        <w:t>https://mcp.opencaselaw.ch/entscheid/zh_verwaltungsgericht__VB.2024.00429</w:t>
      </w:r>
    </w:p>
    <w:p>
      <w:r>
        <w:t>FR: ZH_VERWALTUNGSGERICHT VB.2024.00429 du 6 février 2025</w:t>
      </w:r>
    </w:p>
    <w:p>
      <w:r>
        <w:t>IT: ZH_VERWALTUNGSGERICHT VB.2024.00429 del 6 febbraio 2025</w:t>
      </w:r>
    </w:p>
    <w:p>
      <w:pPr>
        <w:pStyle w:val="Heading2"/>
      </w:pPr>
      <w:r>
        <w:t>Regeste</w:t>
      </w:r>
    </w:p>
    <w:p>
      <w:r>
        <w:t>Vollzug einer Landesverweisung | [Das Strafgericht hat gegen die aus Kosovo stammende Beschwerdeführerin rechtskräftig eine obligatorische Landesverweisung angeordnet. Umstritten ist, ob der Vollzug der Landesverweisung aufzuschieben ist.] Das Strafgericht prüft gemäss bundesgerichtlicher Rechtsprechung die rechtliche Durchführbarkeit der Landesverweisung und die Verhältnismässigkeit, soweit diese definitiv bestimmbar ist. Das entbindet die Vollzugsbehörde jedoch nicht davon, zusätzlich zum Rahmen von Art. 66d StGB ausnahmsweise neue Aspekte der Verhältnismässigkeit zu prüfen, die noch nicht in den strafrechtlichen Sachentscheid eingeflossen sind und dem Vollzug der Landesverweisung entgegenstehen könnten (E. 2.1 ff.). Die Beschwerdeführerin bringt mit ihrer Heirat mit einem Schweizer Bürger und dem gemeinsamen Kind im Säuglingsalter, welches ebenfalls über die Schweizer Staatsbürgerschaft verfügt, glaubhaft Umstände vor, welche dem Vollzug der Landesverweisung ausnahmsweise entgegenstehen könnten und noch nicht in den Sachentscheid eingeflossen sind (E. 2.5 f.). Teilweise Gutheissung. (Sprung-)Rückweisung an das Migrationsamt. Abweichende Meinung einer Kammerminderheit.</w:t>
      </w:r>
    </w:p>
    <w:p>
      <w:pPr>
        <w:pStyle w:val="Heading2"/>
      </w:pPr>
      <w:r>
        <w:t>Erwägungen</w:t>
      </w:r>
    </w:p>
    <w:p>
      <w:r>
        <w:rPr>
          <w:b/>
        </w:rPr>
        <w:t>E. 4</w:t>
      </w:r>
    </w:p>
    <w:p>
      <w:r>
        <w:t>Nach voran Gesagtem ist die Beschwerde teilweise gutzuheissen und die Sache im Sinn der Erwägungen zur vollständigen Sachverhaltserstellung und Beurteilung der rechtlichen Durchführbarkeit der Landesverweisung an den Beschwerdegegner zurückzuweisen.</w:t>
      </w:r>
    </w:p>
    <w:p>
      <w:r>
        <w:rPr>
          <w:b/>
        </w:rPr>
        <w:t>E. 5</w:t>
      </w:r>
    </w:p>
    <w:p>
      <w:r>
        <w:t>Die (Sprung-)Rückweisung zur erneuten Entscheidung bei offenem Ausgang ist in Bezug auf die Regelung der Nebenfolgen als Obsiegen zu behandeln, wenn die Rechtsmittelinstanz reformatorisch oder kassatorisch entscheiden kann (BGr, 28. April 2014, 2C_846/2013, E. 3.2 f. mit Hinweisen). Die Kosten des Rekurs- und Beschwerdeverfahrens sind somit dem unterliegenden Beschwerdegegner aufzuerlegen (§ 13 Abs. 2 Satz 1 VRG teilweise in Verbindung mit § 65a Abs. 2 VRG). Desgleichen hat dieser der Beschwerdeführerin eine angemessene Parteientschädigung von Fr. 2'000.- für das Rekurs- und Fr. 1'500.- (je inklusive Mehrwertsteuer) für das Beschwerdeverfahren zu bezahlen (§ 17 Abs. 2 lit. a VRG).</w:t>
      </w:r>
    </w:p>
    <w:p>
      <w:r>
        <w:rPr>
          <w:b/>
        </w:rPr>
        <w:t>E. 6</w:t>
      </w:r>
    </w:p>
    <w:p>
      <w:r>
        <w:t>Der vorliegende Rückweisungsentscheid stellt nach der Rechtsprechung des Bundesgerichts einen Zwischenentscheid dar (BGE 133 II 409, E. 1.2; vgl. auch VGR, 25. April 2019, VB.2017.00724, E. 6). Zwischenentscheide nach Art. 93 BGG sind vor Bundesgericht nur dann anfechtbar, wenn sie einen nicht wiedergutzumachenden Nachteil bewirken können (Abs. 1 lit. a) oder wenn die Gutheissung der Beschwerde sofort einen Endentscheid herbeiführen und damit einen bedeutenden Aufwand an Zeit oder Kosten für ein weitläufiges Beweisverfahren ersparen würde (Abs. 1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