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VB.2024.00415 vom 17. März 2025</w:t>
      </w:r>
    </w:p>
    <w:p>
      <w:r>
        <w:t>ZH Verwaltungsgericht, 2025-03-17, DE</w:t>
      </w:r>
    </w:p>
    <w:p>
      <w:r>
        <w:rPr>
          <w:b/>
        </w:rPr>
        <w:t xml:space="preserve">Quelle: </w:t>
      </w:r>
      <w:r>
        <w:t>https://mcp.opencaselaw.ch/entscheid/zh_verwaltungsgericht__VB.2024.00415</w:t>
      </w:r>
    </w:p>
    <w:p>
      <w:r>
        <w:t>FR: ZH_VERWALTUNGSGERICHT VB.2024.00415 du 17 mars 2025</w:t>
      </w:r>
    </w:p>
    <w:p>
      <w:r>
        <w:t>IT: ZH_VERWALTUNGSGERICHT VB.2024.00415 del 17 marzo 2025</w:t>
      </w:r>
    </w:p>
    <w:p>
      <w:pPr>
        <w:pStyle w:val="Heading2"/>
      </w:pPr>
      <w:r>
        <w:t>Regeste</w:t>
      </w:r>
    </w:p>
    <w:p>
      <w:r>
        <w:t>Aufenthaltsbewilligung | [Nichterteilung einer Aufenthaltsbewilligung an einen iranischen Staatsangehörigen, der 1986 in die Schweiz eingereist war und im November 2022 vorläufig aufgenommen wurde] Aus dem Recht auf Privat- und Familienleben ergibt sich kein Recht auf eine bestimmte Art von Aufenthaltstitel, solange die bestehende Aufenthaltsregelung eine weitestgehende ungehinderte Ausübung des geschützten Privat- und Familienlebens ermöglicht. Die vorläufige Aufnahme des Beschwerdeführers ermöglicht ihm, sein Privatleben in der Schweiz zu führen. Die von ihm vorgebrachten Nachteile in Bezug auf die Sozialhilfe und die internationale Mobilität beeinträchtigen dieses nicht in relevanter Weise (E. 2). Abweisung UP/URB. Abweisung.</w:t>
      </w:r>
    </w:p>
    <w:p>
      <w:pPr>
        <w:pStyle w:val="Heading2"/>
      </w:pPr>
      <w:r>
        <w:t>Erwägungen</w:t>
      </w:r>
    </w:p>
    <w:p>
      <w:r>
        <w:rPr>
          <w:b/>
        </w:rPr>
        <w:t>E. 4</w:t>
      </w:r>
    </w:p>
    <w:p>
      <w:r>
        <w:t>Nach dem Gesagten ist die Beschwerde abzuweisen.</w:t>
      </w:r>
    </w:p>
    <w:p>
      <w:r>
        <w:rPr>
          <w:b/>
        </w:rPr>
        <w:t>E. 5.1</w:t>
      </w:r>
    </w:p>
    <w:p>
      <w:r>
        <w:t>Ausgangsgemäss sind die Gerichtskosten dem Beschwerdeführer aufzuerlegen (§ 65a Abs. 2 in Verbindung mit § 13 Abs. 1 Satz 2 VRG) und ist ihm keine Parteientschädigung zuzusprechen (§ 17 Abs. 2 VRG).</w:t>
      </w:r>
    </w:p>
    <w:p>
      <w:r>
        <w:rPr>
          <w:b/>
        </w:rPr>
        <w:t>E. 5.2</w:t>
      </w:r>
    </w:p>
    <w:p>
      <w:r>
        <w:t>Der Beschwerdeführer ersucht um Gewährung unentgeltlicher Prozessführung für das Rekurs- und das Beschwerdeverfahren. 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Offenkundig aussichtslos sind Begehren, deren Chancen auf Gutheissung derart viel kleiner als jene auf Abweisung erscheinen, dass sie kaum als ernsthaft bezeichnet werden können (Kaspar Plüss, Alain Griffel [Hrsg.], Kommentar zum Verwaltungsrechtspflegegesetz des Kantons Zürich [VRG], 3. A., Zürich etc. 2014, § 16 N. 46). Der Beschwerdeführer hat erst seit Anfang November 2022 den Aufenthaltsstatus als vorläufig Aufgenommener. Aufgrund dieser Sachlage und der eingangs dargelegten Rechtsprechung des Bundesgerichts ist das Gesuch infolge Aussichtslosigkeit abzuweisen.</w:t>
      </w:r>
    </w:p>
    <w:p>
      <w:r>
        <w:rPr>
          <w:b/>
        </w:rPr>
        <w:t>E. 6</w:t>
      </w:r>
    </w:p>
    <w:p>
      <w:r>
        <w:t>Zur Rechtsmittelbelehrung des nachfolgenden Urteilsdispositivs ist Folgendes zu erläutern: Soweit in vertretbarer Weise ein Anspruch des Beschwerdeführers auf eine Aufenthaltsbewilligung geltend gemacht wird, ist die Beschwerde in öffentlich-rechtlichen Angelegenheiten nach Art. 82 ff. des Bundesgerichtsgesetzes vom 17. Juni 2005 (BGG, SR 173.110) zulässig (BGE 147 I 268 E. 1.2 mit Hinweisen). Ansonsten steht nur die subsidiäre Verfassungsbeschwerde gemäss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