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VB.2024.00387 vom 30. September 2021</w:t>
      </w:r>
    </w:p>
    <w:p>
      <w:r>
        <w:t>ZH Verwaltungsgericht, 2021-09-30, DE</w:t>
      </w:r>
    </w:p>
    <w:p>
      <w:r>
        <w:rPr>
          <w:b/>
        </w:rPr>
        <w:t xml:space="preserve">Quelle: </w:t>
      </w:r>
      <w:r>
        <w:t>https://mcp.opencaselaw.ch/entscheid/zh_verwaltungsgericht__VB.2024.00387</w:t>
      </w:r>
    </w:p>
    <w:p>
      <w:r>
        <w:t>FR: ZH_VERWALTUNGSGERICHT VB.2024.00387 du 30 septembre 2021</w:t>
      </w:r>
    </w:p>
    <w:p>
      <w:r>
        <w:t>IT: ZH_VERWALTUNGSGERICHT VB.2024.00387 del 30 settembre 2021</w:t>
      </w:r>
    </w:p>
    <w:p>
      <w:pPr>
        <w:pStyle w:val="Heading2"/>
      </w:pPr>
      <w:r>
        <w:t>Regeste</w:t>
      </w:r>
    </w:p>
    <w:p>
      <w:r>
        <w:t>Erteilung einer Aufenthaltsbewilligung (Wiedererwägung) | [Nach einer rechtskräftigen Verfügung des Migrationsamts betreffend die Nichtverlängerung der Aufenthaltsbewilligung des Beschwerdeführers trat das Migrationsamt auf ein zweites Wiedererwägungsgesuch des Beschwerdeführers nicht ein.] Mit vom Bundesgericht am 15. Januar 2015 geschützter Verfügung vom 14. August 2013 wies das Migrationsamt das Gesuch des Beschwerdeführers um Verlängerung der Aufenthaltsbewilligung ab. Auf ein erstes Wiedererwägungsgesuch vom 14. Januar 2020 trat das Migrationsamt nicht ein. Eine erneute Überprüfung kommt nur bei einer wesentlichen Veränderung der Sach- oder Rechtslage in Betracht (E. 2). In seinem zweiten Wiedererwägungsgesuch beruft sich der Beschwerdeführer erneut auf die familiären Verhältnisse, namentlich auf seine Schweizer Ehefrau und die vier gemeinsamen Kinder, und macht damit keine solche Änderung geltend (E. 3). Abweisung. Abweichende Meinung einer Kammerminderheit und des Gerichtsschreibers.</w:t>
      </w:r>
    </w:p>
    <w:p>
      <w:pPr>
        <w:pStyle w:val="Heading2"/>
      </w:pPr>
      <w:r>
        <w:t>Erwägungen</w:t>
      </w:r>
    </w:p>
    <w:p>
      <w:r>
        <w:rPr>
          <w:b/>
        </w:rPr>
        <w:t>E. 4</w:t>
      </w:r>
    </w:p>
    <w:p>
      <w:r>
        <w:t>Ausgangsgemäss sind die Gerichtskosten dem Beschwerdeführer aufzuerlegen (§ 13 Abs. 2 Satz 1 in Verbindung mit § 65a Abs. 2 VRG) und steht ihm mangels Obsiegens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