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VB.2024.00312 vom 4. Juni 2024</w:t>
      </w:r>
    </w:p>
    <w:p>
      <w:r>
        <w:t>ZH Verwaltungsgericht, 2024-06-04, DE</w:t>
      </w:r>
    </w:p>
    <w:p>
      <w:r>
        <w:rPr>
          <w:b/>
        </w:rPr>
        <w:t xml:space="preserve">Quelle: </w:t>
      </w:r>
      <w:r>
        <w:t>https://mcp.opencaselaw.ch/entscheid/zh_verwaltungsgericht__VB.2024.00312</w:t>
      </w:r>
    </w:p>
    <w:p>
      <w:r>
        <w:t>FR: ZH_VERWALTUNGSGERICHT VB.2024.00312 du 4 juin 2024</w:t>
      </w:r>
    </w:p>
    <w:p>
      <w:r>
        <w:t>IT: ZH_VERWALTUNGSGERICHT VB.2024.00312 del 4 giugno 2024</w:t>
      </w:r>
    </w:p>
    <w:p>
      <w:pPr>
        <w:pStyle w:val="Heading2"/>
      </w:pPr>
      <w:r>
        <w:t>Regeste</w:t>
      </w:r>
    </w:p>
    <w:p>
      <w:r>
        <w:t>Sozialhilfe | Sozialhilfe. Der Rückweisungsentscheid der Vorinstanz stellt einen Zwischenentscheid dar (E. 2.2). Die Voraussetzungen von Art. 93 Abs. 1 lit. a oder lit. b BGG sind vorliegend nicht gegeben; der vorinstanzliche Beschluss ist nicht anfechtbar (E. 2.4). Ob die beschwerdeführende Gemeinde legitimiert gewesen wäre, braucht bei diesem Ergebnis nicht geprüft zu werden (E. 2.5). Nichteintreten.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Nach dem Gesagten ist auf die Beschwerde nicht einzutreten. Ausgangsgemäss sind die Gerichtskosten der Beschwerdeführerin aufzuerlegen (§ 65a Abs. 2 in Verbindung mit § 13 Abs. 2 VRG). Bei der Bemessung der Gerichtskosten ist zu berücksichtigen, dass der Streitwert zwar rund Fr. 42'000.- beträgt, die Beschwerde aber materiell nicht zu beurteilen war (vgl. § 3 Abs. 1 und § 4 Abs. 2 des Gebührenverordnung des Verwaltungsgerichts vom 3. Juli 2018 (GebV VGr [LS 175.252]). Eine Parteientschädigung hat die Beschwerdeführerin nicht beantragt und stünde ihr bereits mangels Obsiegens auch nicht zu (§ 17 Abs. 2 VRG).</w:t>
      </w:r>
    </w:p>
    <w:p>
      <w:r>
        <w:rPr>
          <w:b/>
        </w:rPr>
        <w:t>E. 4</w:t>
      </w:r>
    </w:p>
    <w:p>
      <w:r>
        <w:t>Da der angefochtene Beschluss der Vorinstanz einen Zwischenentscheid darstellt (vorn E. 2.2), ist die vorliegende Verfügung dazu ihrerseits ein solcher; das Bundesgericht lässt sich daher nur unter den Voraussetzungen von Art. 93 Abs. 1 BGG anrufen (Bertschi, § 19a N. 31 f. und 48; vorn E. 2.3).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