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VB.2024.00311 vom 20. Juni 2024</w:t>
      </w:r>
    </w:p>
    <w:p>
      <w:r>
        <w:t>ZH Verwaltungsgericht, 2024-06-20, DE</w:t>
      </w:r>
    </w:p>
    <w:p>
      <w:r>
        <w:rPr>
          <w:b/>
        </w:rPr>
        <w:t xml:space="preserve">Quelle: </w:t>
      </w:r>
      <w:r>
        <w:t>https://mcp.opencaselaw.ch/entscheid/zh_verwaltungsgericht__VB.2024.00311</w:t>
      </w:r>
    </w:p>
    <w:p>
      <w:r>
        <w:t>FR: ZH_VERWALTUNGSGERICHT VB.2024.00311 du 20 juin 2024</w:t>
      </w:r>
    </w:p>
    <w:p>
      <w:r>
        <w:t>IT: ZH_VERWALTUNGSGERICHT VB.2024.00311 del 20 giugno 2024</w:t>
      </w:r>
    </w:p>
    <w:p>
      <w:pPr>
        <w:pStyle w:val="Heading2"/>
      </w:pPr>
      <w:r>
        <w:t>Regeste</w:t>
      </w:r>
    </w:p>
    <w:p>
      <w:r>
        <w:t>Eingrenzung (G.-Nr. GI20067-L): Aufschiebende Wirkung | Aufschiebende Wirkung und Eingrenzung; bundesrechtlicher Spielraum. Beschwerden gegen die Anordnung von Ein- oder Ausgrenzungen kommt von Gesetzes wegen keine aufschiebende Wirkung zu (Art. 74 Abs. 3 AIG). Die Beschwerdeführerin hat beim Zwangsmassnahmengericht in analoger Anwendung von § 25 Abs. 3 VRG um Gewährung der aufschiebenden Wirkung ersucht (E. 2.1). Es ist im Rahmen der Auslegung zu untersuchen, ob die bundesrechtliche Regelung dafür Raum lässt. Aus dem Wortlaut lässt sich kein zwingender Schluss ziehen. Mit der Aussage, dass die Beschwerde keine aufschiebende Wirkung hat, wird die Frage nach der Zulässigkeit der Wiederherstellung der aufschiebenden Wirkung nach kantonalem Verfahrensrecht nicht beantwortet. Gemäss der Botschaft, mit der diese Regelung – damals noch als Art. 13e Abs. 3 ANAG (inzwischen unverändert Art. 74 Abs. 3 AIG) – eingeführt wurde, ist die Wiederherstellung der aufschiebenden Wirkung indes explizit ausgeschlossen. Auch die systematische Betrachtung stützt diesen Schluss. Ist die aufschiebende Wirkung erteilbar, obwohl eine Beschwerde grundsätzlich keine aufschiebende Wirkung hat, so wird dies im AIG ausdrücklich genannt. Nach dem Gesagten besteht von Bundesrechts wegen kein Raum für die Wiederherstellung der aufschiebenden Wirkung im Einzelfall (E. 2.2). Abweisung.</w:t>
      </w:r>
    </w:p>
    <w:p>
      <w:pPr>
        <w:pStyle w:val="Heading2"/>
      </w:pPr>
      <w:r>
        <w:t>Erwägungen</w:t>
      </w:r>
    </w:p>
    <w:p>
      <w:r>
        <w:rPr>
          <w:b/>
        </w:rPr>
        <w:t>E. 1</w:t>
      </w:r>
    </w:p>
    <w:p>
      <w:r>
        <w:t>Abteilung VB.2024.00311 Urteil der 1. Kammer vom 20. Juni 2024 Mitwirkend: Abteilungspräsidentin Sandra Wintsch (Vorsitz) , Verwaltungsrichterin Maja Schüpbach Schmid, Verwaltungsrichter Daniel Schweikert, Gerichtsschreiber Jonas Alig. In Sachen A, vertreten durch RA B, Beschwerdeführer, gegen Migrationsamt des Kantons Zürich, Beschwerdegegner, betreffend Eingrenzung (G.-Nr. GI20067-L): aufschiebende Wirkung, hat sich ergeben: I. Mit Verfügung vom 27. März 2024 grenzte das Migrationsamt des Kantons Zürich A gestützt auf Art. 74 Abs. 1 lit. a AIG befristet auf zwei Jahre ab Eröffnung der Verfügung auf das Gebiet des Bezirks C ein. II. A erhob dagegen am 2. Mai 2024 Beschwerde an das Zwangsmassnahmengericht des Bezirksgerichts Zürich und beantragte die ersatzlose Aufhebung der Eingrenzungsverfügung. Es sei im Dispositiv des Entscheids festzustellen, dass die Beschwerdegegnerin das rechtliche Gehör verletzt habe. In prozessualer Hinsicht beantragte er, der Beschwerde unverzüglich aufschiebende Wirkung zu erteilen. Mit Verfügung vom 24. Mai 2024 stellte das Zwangsmassnahmengericht die Beschwerdeschrift dem Migrationsamt zur Behandlung bzw. zur Stellungnahme zu; gleichzeitig wurde der Beschwerde die aufschiebende Wirkung nicht gewährt. III. Dagegen erhob A am 30. Mai 2024 Beschwerde an das Verwaltungsgericht und beantragte, die Verfügung – unter Kosten- und Entschädigungsfolgen (zuzüglich MWST) zulasten der Beschwerdegegnerin bzw. Staatskasse – aufzuheben und der Beschwerde vom 2. Mai 2024 die aufschiebende Wirkung zu gewähren. Es sei Rechtswidrigkeit der angefochtenen Verfügung sowie die Verletzung des rechtlichen Gehörs durch die Vorinstanz festzustellen. Im Sinn einer superprovisorischen Massnahme sei der Beschwerde vom 2. Mai 2024 die aufschiebende Wirkung zu gewähren. Es sei die unentgeltliche Rechtspflege zu gewähren und es sei dem Beschwerdeführer Rechtsanwalt B als unentgeltlicher Rechtsbeistand zu bestellen. Mit Präsidialverfügung vom 31. Mai 2024 wies die Abteilungspräsidentin das superprovisorische Gesuch um Gewährung der aufschiebenden Wirkung ab. Am 4. Juni 2024 verzichtete das Migrationsamt auf Beschwerdeantwort. Am 6. Juni 2024 verzichtete das Zwangsmassnahmengericht auf Vernehmlassung. Die Kammer erwägt:</w:t>
      </w:r>
    </w:p>
    <w:p>
      <w:r>
        <w:rPr>
          <w:b/>
        </w:rPr>
        <w:t>E. 1.1</w:t>
      </w:r>
    </w:p>
    <w:p>
      <w:r>
        <w:t>Anfechtungsobjekt ist eine selbständig eröffnete verfahrensleitende Verfügung der Vorinstanz über die aufschiebende Wirkung, mithin ein Zwischenentscheid.</w:t>
      </w:r>
    </w:p>
    <w:p>
      <w:r>
        <w:rPr>
          <w:b/>
        </w:rPr>
        <w:t>E. 1.1.1</w:t>
      </w:r>
    </w:p>
    <w:p>
      <w:r>
        <w:t>Das Verwaltungsgericht ist zur Behandlung der dagegen erhobenen Beschwerde zuständig, wenn es auch in der Hauptsache zuständig ist, was bei Massnahmen nach Art. 73–78 AIG der Fall ist (§ 41 in Verbindung mit § 19 Abs. 1 sowie § 43 Abs. 1 lit. b VRG).</w:t>
      </w:r>
    </w:p>
    <w:p>
      <w:r>
        <w:rPr>
          <w:b/>
        </w:rPr>
        <w:t>E. 1.1.2</w:t>
      </w:r>
    </w:p>
    <w:p>
      <w:r>
        <w:t>Beschwerden betreffend Massnahmen nach Art. 73–78 AIG werden durch den Einzelrichter behandelt, sofern sie nicht wegen grundsätzlicher Bedeutung der Kammer zur Beurteilung überwiesen werden (§ 38b Abs. 1 lit. d Ziff. 4 in Verbindung mit § 43 Abs. 1 lit. b VRG sowie § 38b Abs. 2 VRG). Vorliegend wird die Angelegenheit aufgrund der grundsätzlichen Bedeutung der Beschwerde an die Kammer überwiesen.</w:t>
      </w:r>
    </w:p>
    <w:p>
      <w:r>
        <w:rPr>
          <w:b/>
        </w:rPr>
        <w:t>E. 1.1.3</w:t>
      </w:r>
    </w:p>
    <w:p>
      <w:r>
        <w:t>Ein Zwischenentscheid ist nach § 41 Abs. 3 in Verbindung mit § 19a Abs. 2 VRG sowie Art. 93 Abs. 1 BGG nur anfechtbar, wenn er einen nicht wiedergutzumachenden Nachteil bewirken könnte (lit. a) oder die Gutheissung der Beschwerde sofort einen Endentscheid herbeiführen und damit einen bedeutenden Aufwand an Zeit oder Kosten für ein weitläufiges Beweisverfahren ersparen würde (lit. b). Durch die Nichtgewährung der aufschiebenden Wirkung tritt während der Dauer des Verfahrens eine tatsächliche Beeinträchtigung ein, indem die Eingrenzung wirksam bleibt und damit insbesondere die Bewegungsfreiheit des Beschwerdeführers eingeschränkt wird, was auch durch einen günstigen Endentscheid nicht rückgängig zu machen ist. Insofern erweist sich die Beschwerde an das Verwaltungsgericht als zulässig; es liegt ein zulässiges Anfechtungsobjekt vor.</w:t>
      </w:r>
    </w:p>
    <w:p>
      <w:r>
        <w:rPr>
          <w:b/>
        </w:rPr>
        <w:t>E. 1.2</w:t>
      </w:r>
    </w:p>
    <w:p>
      <w:r>
        <w:t>Da auch die übrigen Sachurteilsvoraussetzungen erfüllt sind, ist auf die Beschwerde einzutreten.</w:t>
      </w:r>
    </w:p>
    <w:p>
      <w:r>
        <w:rPr>
          <w:b/>
        </w:rPr>
        <w:t>E. 2.1</w:t>
      </w:r>
    </w:p>
    <w:p>
      <w:r>
        <w:t>Beschwerden gegen die Anordnung von Ein- oder Ausgrenzungen kommt von Gesetzes wegen keine aufschiebende Wirkung zu (Art. 74 Abs. 3 AIG). Die Beschwerdeführerin hat beim Zwangsmassnahmengericht in analoger Anwendung von § 25 Abs. 3 VRG um Gewährung der aufschiebenden Wirkung ersucht (vgl. § 3 VüVZA).</w:t>
      </w:r>
    </w:p>
    <w:p>
      <w:r>
        <w:rPr>
          <w:b/>
        </w:rPr>
        <w:t>E. 2.2</w:t>
      </w:r>
    </w:p>
    <w:p>
      <w:r>
        <w:t>Es ist im Rahmen der Auslegung zu untersuchen, ob die bundesrechtliche Regelung dafür Raum lässt (vgl. dazu VGr, 21. Dezember 2023, VB.2023.00243, E. 3.1.2). Aus dem Wortlaut lässt sich kein zwingender Schluss ziehen. Mit der Aussage, dass die Beschwerde keine aufschiebende Wirkung hat, wird die Frage nach der Zulässigkeit der Wiederherstellung der aufschiebenden Wirkung nach kantonalem Verfahrensrecht nicht beantwortet. Gemäss der Botschaft, mit der diese Regelung ­– damals noch als Art. 13e Abs. 3 ANAG (inzwischen unverändert Art. 74 Abs. 3 AIG) – eingeführt wurde, ist die Wiederherstellung der aufschiebenden Wirkung indes explizit ausgeschlossen (Botschaft zum Bundesgesetz über Zwangsmassnahmen im Ausländerrecht vom 22. Dezember 1993, BBl 1993 305, S. 328). Auch die systematische Betrachtung stützt diesen Schluss. Ist die aufschiebende Wirkung erteilbar, obwohl eine Beschwerde grundsätzlich keine aufschiebende Wirkung hat, so wird dies im AIG ausdrücklich genannt (vgl. Art. 64 Abs. 3 AIG und Art. 64a Abs. 2 AIG [erteilbar]; Art. 7 Abs. 3 AIG [nicht erteilbar]; zum Ganzen Benjamin Märkli, Die aufschiebende Wirkung im öffentlichen Recht des Bundes und der Kantone, Zürich/ St. Gallen 2022, Rz. 306). Nach dem Gesagten besteht, entgegen einem Teil der Literatur – der dies jeweils ohne weitere Begründung vertritt (Felix Baumann/Tarkan Göksu, Zwangsmassnahmen im Ausländerrecht, Zürich/St. Gallen 2022, Rz. 254; Gregor Chatton/Laurent Merz in: Minh Son Nguyen/Cesla Amarelle [Hrsg.], Code annoté de droit des migrations, vol. II: Loi sur les étrangers, 2017, Art. 74 N. 36; Annekatrin Wortha, Eingrenzung von Ausländerinnen und Ausländern im Kanton Zürich, Die Ruhe nach dem Sturm, AJP 2020 348, S. 351) – und entgegen dem Entscheid des Verwaltungsgerichts im Verfahren VB.2023.00378 vom 25. Oktober 2023 von Bundesrechts wegen kein Raum für eine analoge Anwendung von § 25 Abs. 3 VRG und die Wiederherstellung der aufschiebenden Wirkung im Einzelfall (gleicher Meinung Andreas Zünd, Zwangsmassnahmen im Ausländerrecht: Verfahrensfragen und Rechtsschutz, AJP 1995 854 ff., S. 866).</w:t>
      </w:r>
    </w:p>
    <w:p>
      <w:r>
        <w:rPr>
          <w:b/>
        </w:rPr>
        <w:t>E. 2.3</w:t>
      </w:r>
    </w:p>
    <w:p>
      <w:r>
        <w:t>Dementsprechend ist die Beschwerde abzuweisen.</w:t>
      </w:r>
    </w:p>
    <w:p>
      <w:r>
        <w:rPr>
          <w:b/>
        </w:rPr>
        <w:t>E. 3.1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(§17 Abs. 2 VRG).</w:t>
      </w:r>
    </w:p>
    <w:p>
      <w:r>
        <w:rPr>
          <w:b/>
        </w:rPr>
        <w:t>E. 3.2.1</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3.2.2</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Rechtsanwalt B als unentgeltlicher Rechtsvertreter zu bestellen.</w:t>
      </w:r>
    </w:p>
    <w:p>
      <w:r>
        <w:rPr>
          <w:b/>
        </w:rPr>
        <w:t>E. 3.2.3</w:t>
      </w:r>
    </w:p>
    <w:p>
      <w:r>
        <w:t>Der Rechtsvertreter des Beschwerdeführers reichte mit Beschwerdeerhebung seine Honorarnote ein. Der darin geltend gemachte Zeitaufwand von insgesamt 2,92 Stunden à Fr. 220.- erscheint mit Blick auf die Bedeutung des Verfahrens und die sich darin stellenden rechtlichen Fragen als angemessen (§ 9 Abs. 1 Satz 2 GebV VGr). Damit beläuft sich der angemessene Entschädigungsanspruch inkl. Porto von Fr. 5.80 auf total Fr. 713.45 (inkl. MWST).</w:t>
      </w:r>
    </w:p>
    <w:p>
      <w:r>
        <w:rPr>
          <w:b/>
        </w:rPr>
        <w:t>E. 3.2.4</w:t>
      </w:r>
    </w:p>
    <w:p>
      <w:r>
        <w:t>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