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VB.2024.00289 vom 29. August 2024</w:t>
      </w:r>
    </w:p>
    <w:p>
      <w:r>
        <w:t>ZH Verwaltungsgericht, 2024-08-29, DE</w:t>
      </w:r>
    </w:p>
    <w:p>
      <w:r>
        <w:rPr>
          <w:b/>
        </w:rPr>
        <w:t xml:space="preserve">Quelle: </w:t>
      </w:r>
      <w:r>
        <w:t>https://mcp.opencaselaw.ch/entscheid/zh_verwaltungsgericht__VB.2024.00289</w:t>
      </w:r>
    </w:p>
    <w:p>
      <w:r>
        <w:t>FR: ZH_VERWALTUNGSGERICHT VB.2024.00289 du 29 août 2024</w:t>
      </w:r>
    </w:p>
    <w:p>
      <w:r>
        <w:t>IT: ZH_VERWALTUNGSGERICHT VB.2024.00289 del 29 agosto 2024</w:t>
      </w:r>
    </w:p>
    <w:p>
      <w:pPr>
        <w:pStyle w:val="Heading2"/>
      </w:pPr>
      <w:r>
        <w:t>Regeste</w:t>
      </w:r>
    </w:p>
    <w:p>
      <w:r>
        <w:t>Aufenthaltsbewilligung/Wiedererwägung | [Nach einem rechtskräftigen Urteil des Verwaltungsgerichts betreffend die Nichtverlängerung der Aufenthaltsbewilligung der Beschwerdeführerin trat das Migrationsamt auf ein neues Gesuch der Beschwerdeführerin um Erteilung einer Aufenthaltsbewilligung nicht ein.] Die Ehe der Beschwerdeführerin mit ihrem Ehemann wurde vom Verwaltungsgericht als Scheinehe qualifiziert. Entsprechend fallen nacheheliche Aufenthaltsansprüche ausser Betracht und ist die mittlerweile erfolgte Auflösung der Ehegmeinschaft als nachträglich eingetretene Sachverhaltsänderung nicht geeignet, eine Neubeurteilung des Aufenthaltsrechts zu veranlassen (E. 3.1). Die übrigen Vorbringen betreffend Diskriminierung im Heimatland, Familiensituation der Beschwerdeführerin sowie deren Integration hätten in Anbetracht der im Raum stehenden Wegweisung schon im ersten Verfahren vorgebracht werden müssen. Sie vermögen aber sowieso keinen Härtefall zu begründen (E.3.2). Abweisung.</w:t>
      </w:r>
    </w:p>
    <w:p>
      <w:pPr>
        <w:pStyle w:val="Heading2"/>
      </w:pPr>
      <w:r>
        <w:t>Erwägungen</w:t>
      </w:r>
    </w:p>
    <w:p>
      <w:r>
        <w:rPr>
          <w:b/>
        </w:rPr>
        <w:t>E. 4</w:t>
      </w:r>
    </w:p>
    <w:p>
      <w:r>
        <w:t>Ausgangsgemäss sind die Kosten des Beschwerdeverfahrens der Beschwerdeführerin aufzuerlegen (§ 65a Abs. 2 in Verbindung mit § 13 Abs. 2 Satz 1 VRG). Eine Parteientschädigung steht ihr nicht zu (§ 17 Abs. 2 VRG).</w:t>
      </w:r>
    </w:p>
    <w:p>
      <w:r>
        <w:rPr>
          <w:b/>
        </w:rPr>
        <w:t>E. 5</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(Art. 83 lit. c Ziff.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