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VB.2024.00257 vom 18. Juni 2024</w:t>
      </w:r>
    </w:p>
    <w:p>
      <w:r>
        <w:t>ZH Verwaltungsgericht, 2024-06-18, DE</w:t>
      </w:r>
    </w:p>
    <w:p>
      <w:r>
        <w:rPr>
          <w:b/>
        </w:rPr>
        <w:t xml:space="preserve">Quelle: </w:t>
      </w:r>
      <w:r>
        <w:t>https://mcp.opencaselaw.ch/entscheid/zh_verwaltungsgericht__VB.2024.00257</w:t>
      </w:r>
    </w:p>
    <w:p>
      <w:r>
        <w:t>FR: ZH_VERWALTUNGSGERICHT VB.2024.00257 du 18 juin 2024</w:t>
      </w:r>
    </w:p>
    <w:p>
      <w:r>
        <w:t>IT: ZH_VERWALTUNGSGERICHT VB.2024.00257 del 18 giugno 2024</w:t>
      </w:r>
    </w:p>
    <w:p>
      <w:pPr>
        <w:pStyle w:val="Heading2"/>
      </w:pPr>
      <w:r>
        <w:t>Regeste</w:t>
      </w:r>
    </w:p>
    <w:p>
      <w:r>
        <w:t>Bestätigung Ausschaffungshaft (G.-Nr. GI240060-L) | Bestätigung der Ausschaffungshaft. Der Beschwerdeführer wurde wegen einfachen Diebstahls verurteilt; der Haftgrund der Verurteilung wegen eines Verbrechens ist erfüllt (E. 4.3). Sodann missachtete der Beschwerdeführer mehrfach die ihm auferlegte Eingrenzung. Vor diesem Hintergrund kann davon ausgegangen werden, dass mildere Mittel – wie die Eingrenzung – sich zum Vornherein als untauglich erweisen. Die privaten Interessen des Beschwerdeführers an seiner Haftentlassung vermögen die öffentlichen Interessen nicht zu überwiegen (E. 4.4).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In prozessualer Hinsicht macht der Beschwerdeführer geltend, die Beschwerdeantwort des Migrationsamtes sei aus dem Recht zu weisen, da sie weder eigenhändig unterzeichnet noch mit einer qualifizierten elektronischen Signatur im Sinn von Art. 7 des Bundesgesetzes über Zertifizierungsdienste im Bereich der elektronischen Signatur und anderer Anwendungen digitaler Zertifikate vom 18. März 2016 (ZertES) versehen worden sei (s. Alain Griffel in: ders. [Hrsg.], Kommentar zum Verwaltungsrechtspflegegesetz des Kantons Zürich [Kommentar VRG], 3. A., Zürich etc. 2014, § 22 N. 6). Dem ist zuzustimmen; die Beschwerdeantwort des Migrationsamts ist aus dem Recht zu weisen.</w:t>
      </w:r>
    </w:p>
    <w:p>
      <w:r>
        <w:rPr>
          <w:b/>
        </w:rPr>
        <w:t>E. 3</w:t>
      </w:r>
    </w:p>
    <w:p>
      <w:r>
        <w:t>Der aus Algerien stammende Beschwerdeführer ersuchte am 18. Januar 2022 um Asyl. Das Staatssekretariat für Migration (SEM) wies das Asylgesuch am 9. Juni 2022 ab und wies den Beschwerdeführer aus der Schweiz weg; auf eine dagegen erhobene Beschwerde trat das Bundesverwaltungsgericht mit Urteil vom 26. August 2022 nicht ein. Sodann wurde die Ausreisefrist bis am 22. September 2022 angesetzt.</w:t>
      </w:r>
    </w:p>
    <w:p>
      <w:r>
        <w:rPr>
          <w:b/>
        </w:rPr>
        <w:t>E. 4.1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4.2</w:t>
      </w:r>
    </w:p>
    <w:p>
      <w:r>
        <w:t>Gegen den Beschwerdeführer liegt ein rechtskräftiger Wegweisungsentscheid vor (Entscheid des Bundesverwaltungsgerichts vom 26. August 2022 resp. Wegweisungsverfügung des SEM vom 9. Juni 2022).</w:t>
      </w:r>
    </w:p>
    <w:p>
      <w:r>
        <w:rPr>
          <w:b/>
        </w:rPr>
        <w:t>E. 4.3</w:t>
      </w:r>
    </w:p>
    <w:p>
      <w:r>
        <w:t>Die Vorinstanz stützte die Bestätigung der Ausschaffungshaft auf Art. 76 Abs. 1 lit. b Ziff. 1 i. V. m. Art. 75 Abs. 1 lit. h AIG. Demnach kann eine Person in Haft genommen werden, wenn sie wegen eines Verbrechens verurteilt worden ist. Da dieser Haftgrund gegeben ist (s. sogleich unten), erübrigt sich die Prüfung weiterer Haftgründe. Verbrechen sind Taten, die mit Freiheitsstrafe von mehr als drei Jahren bedroht sind (Art. 10 Abs. 2 StGB). Der Beschwerdeführer wurde wegen einfachen Diebstahls im Sinn von Art. 139 Ziff. 1 StGB verurteilt. Demgemäss hat die Vorinstanz das Vorliegen des Haftgrunds nach Art. 76 Abs. 1 lit. b Ziff. 1 AIG in Verbindung mit Art. 75 Abs. 1 lit. h AIG zu Recht bejaht.</w:t>
      </w:r>
    </w:p>
    <w:p>
      <w:r>
        <w:rPr>
          <w:b/>
        </w:rPr>
        <w:t>E. 4.4</w:t>
      </w:r>
    </w:p>
    <w:p>
      <w:r>
        <w:t>Die Haft muss sodann verhältnismässig sein, was der Beschwerdeführer mit Blick auf Art. 5 Ziff. 1 lit. f EMRK sowie Art. 10 Abs. 2 BV bestreitet. Er bringt namentlich vor, die Vorinstanz habe keine milderen Massnahmen geprüft. Wie die Vorinstanz richtig ausführt, missachtete der Beschwerdeführer mehrfach die ihm auferlegte Eingrenzung. Die Haft erweist sich somit als geeignet und auch erforderlich, da vor diesem Hintergrund davon ausgegangen werden kann, dass mildere Mittel wie die Eingrenzung den Wegweisungsvollzug nicht sicherzustellen vermögen bzw. sich zum Vornherein als untauglich erweisen (VGr, 21. Juni 2022, VB.2022.00300, E. 3.5.3; VB.2022.00237, E. 3.4.3; Andreas Zünd in: Marc Spescha/Andreas Zünd/Peter Bolzli/Constantin Hruschka/Fanny de Weck, Kommentar Migrationsrecht, 5. A., Zürich 2019, Art. 75 N. 5). 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erhöht, da der Beschwerdeführer wiederkehrend straffällig geworden ist. Das Interesse des Beschwerdeführers besteht mit Blick auf Art. 5 Ziff. 1 lit. f EMRK und Art. 10 Abs. 2 BV im Erhalt seiner (Bewegungs-)Freiheit und der ungehinderten Pflege seiner Kontakte. Wie die Vorinstanz in ihrem Urteil erwog, vermögen die privaten Interessen des Beschwerdeführers an seiner Haftentlassung die öffentlichen Interessen nicht zu überwiegen, namentlich, weil dieser gemäss seinen eigenen Aussagen nicht gewillt ist, in sein Heimatland zurückzukehren, seine Eingrenzung missachtete und seine Mitwirkungspflichten nur ungenügend wahrnahm respektive zeitweilig als verschwunden galt.</w:t>
      </w:r>
    </w:p>
    <w:p>
      <w:r>
        <w:rPr>
          <w:b/>
        </w:rPr>
        <w:t>E. 4.5</w:t>
      </w:r>
    </w:p>
    <w:p>
      <w:r>
        <w:t>Nach Art. 76 Abs. 4 AIG sind die für den Vollzug der Weg- oder Ausweisung notwendigen Vorkehren umgehend zu treffen. Das Migrationsamt treibt das Verfahren betreffend die Rückführung voran; namentlich wurde ein Ausreisegespräch für den 15. Mai 2024 angesetzt. Dass die notwendigen Vorkehren zügig vorangetrieben werden, stellt der Beschwerdeführer denn auch nicht substanziiert in Abrede. Zusammengefasst ist die Beschwerde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(§17 Abs. 2 VRG).</w:t>
      </w:r>
    </w:p>
    <w:p>
      <w:r>
        <w:rPr>
          <w:b/>
        </w:rPr>
        <w:t>E. 5.2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Rechtsanwalt B als unentgeltlicher Rechtsvertreter zu bestellen. Der Rechtsvertreter des Beschwerdeführers reichte mit der Replik seine Honorarnote ein. Der darin geltend gemachte Zeitaufwand von 10,9 Stunden sowie die Auslagen von Fr. 43.60 erscheinen mit Blick auf die Bedeutung des Verfahrens und die sich darin stellenden rechtlichen Fragen noch als angemessen (§ 9 Abs. 1 Satz 2 GebV VGr). Der Rechtsvertreter ist demgemäss mit insgesamt Fr. 2'639.35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