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VB.2024.00256 vom 13. September 2023</w:t>
      </w:r>
    </w:p>
    <w:p>
      <w:r>
        <w:t>ZH Verwaltungsgericht, 2023-09-13, DE</w:t>
      </w:r>
    </w:p>
    <w:p>
      <w:r>
        <w:rPr>
          <w:b/>
        </w:rPr>
        <w:t xml:space="preserve">Quelle: </w:t>
      </w:r>
      <w:r>
        <w:t>https://mcp.opencaselaw.ch/entscheid/zh_verwaltungsgericht__VB.2024.00256</w:t>
      </w:r>
    </w:p>
    <w:p>
      <w:r>
        <w:t>FR: ZH_VERWALTUNGSGERICHT VB.2024.00256 du 13 septembre 2023</w:t>
      </w:r>
    </w:p>
    <w:p>
      <w:r>
        <w:t>IT: ZH_VERWALTUNGSGERICHT VB.2024.00256 del 13 settembre 2023</w:t>
      </w:r>
    </w:p>
    <w:p>
      <w:pPr>
        <w:pStyle w:val="Heading2"/>
      </w:pPr>
      <w:r>
        <w:t>Regeste</w:t>
      </w:r>
    </w:p>
    <w:p>
      <w:r>
        <w:t>prozeduraler Aufenthalt (Erteilung einer Kurzaufenthaltsbewilligung zur Vorbereitung der Eheschliessung) | [Prozedurales Aufenthaltsrecht während des Rekursverfahrens] Nach einer erfolgten Hochzeit mit seiner Schweizer Verlobten hätte der Beschwerdeführer grundsätzlich Anspruch auf Erteilung einer Aufenthaltsbewilligung gemäss Art. 42 Abs. 1 AIG. Die summarische Prüfung der Sach- und Rechtslage spricht jedoch gegen die Gewährung eines prozeduralen Aufenthalts, da der Beschwerdeführer den Widerrufsgrund gemäss Art. 63 lit. a in Verbindung mit Art. 62 gesetzt hat (E. 3). Abweisung.</w:t>
      </w:r>
    </w:p>
    <w:p>
      <w:pPr>
        <w:pStyle w:val="Heading2"/>
      </w:pPr>
      <w:r>
        <w:t>Erwägungen</w:t>
      </w:r>
    </w:p>
    <w:p>
      <w:r>
        <w:rPr>
          <w:b/>
        </w:rPr>
        <w:t>E. 4</w:t>
      </w:r>
    </w:p>
    <w:p>
      <w:r>
        <w:t>Ausgangsgemäss sind die Gerichtskosten dem Beschwerdeführer aufzuerlegen (§ 65a Abs. 2 in Verbindung mit § 13 Abs. 2 Satz 1 VRG).</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BGG zulässig. Ansonsten steht die subsidiäre Verfassungsbeschwerde gemäss Art. 113 ff. BGG offen. Werden beide Rechtsmittel ergriffen, hat dies in der gleichen Rechtsschrift zu geschehen (Art. 119 Abs. 1 BGG). Da es sich bei dem vorliegenden Urteil um einen Zwischenentscheid betreffend vorsorgliche Massnahmen handelt (Bertschi, Kommentar VRG, § 19a N. 32), lässt sich das Bundesgericht allerdings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 Schliesslich ist auf Art. 98 BGG zu verweisen: Danach kann mit Beschwerde gegen Entscheide über vorsorgliche Massnahmen nur die Verletzung verfassungsmässiger Rechte gerügt werden (vgl. zum Ganzen VGr, 21. Oktober 2020, VB.2020.00685 , E. 6; BGr, 13. September 2023, 2C_376/2022,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