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VB.2024.00237 vom 20. Juni 2012</w:t>
      </w:r>
    </w:p>
    <w:p>
      <w:r>
        <w:t>ZH Verwaltungsgericht, 2012-06-20, DE</w:t>
      </w:r>
    </w:p>
    <w:p>
      <w:r>
        <w:rPr>
          <w:b/>
        </w:rPr>
        <w:t xml:space="preserve">Quelle: </w:t>
      </w:r>
      <w:r>
        <w:t>https://mcp.opencaselaw.ch/entscheid/zh_verwaltungsgericht__VB.2024.00237</w:t>
      </w:r>
    </w:p>
    <w:p>
      <w:r>
        <w:t>FR: ZH_VERWALTUNGSGERICHT VB.2024.00237 du 20 juin 2012</w:t>
      </w:r>
    </w:p>
    <w:p>
      <w:r>
        <w:t>IT: ZH_VERWALTUNGSGERICHT VB.2024.00237 del 20 giugno 2012</w:t>
      </w:r>
    </w:p>
    <w:p>
      <w:pPr>
        <w:pStyle w:val="Heading2"/>
      </w:pPr>
      <w:r>
        <w:t>Regeste</w:t>
      </w:r>
    </w:p>
    <w:p>
      <w:r>
        <w:t>Zwischenentscheid; aufschiebende Wirkung und vorsorgliche Massnahmen | Anfechtung Zwischenentscheid des Baurekursgerichts betreffend Verpflichtung, provisorische Absturzsicherungen vor Balkontüren anzubringen. Das Baurekursgericht hat dem Lauf der Beschwerdefrist und einer allfälligen Beschwerde die aufschiebende Wirkung entzogen. Der Entzug der aufschiebenden Wirkung ist zulässig beim Vorliegen besonderer Gründe. Es ist erforderlich, dass ein schwerer Nachteil droht, falls die aufschiebende Wirkung nicht entzogen würde (E. 2.1). Wird das Vorliegen besonderer Gründe bejaht, ist zudem zu prüfen, ob sich der Entzug der Suspensivwirkung als verhältnismässig erweist. Hierzu sind in erster Linie die sich gegenüberstehenden Interessen abzuwägen (E. 2.2). Bedeutende und dringliche Interessen an der Absturzsicherung ergeben sich ohne Weiteres aus den Akten: Namentlich führen im ersten Obergeschoss des Bauobjekts die an der Fassade mehrere Meter über dem Terrain befindlichen, im Gebäudeinneren bodenebenen Balkontüren ungesichert ins Leere. Die Vermeidung des hierdurch entstehenden Absturzrisikos und der damit einhergehenden Gefahr für Leib und Leben ist offenkundig ein sehr gewichtiges Interesse (E. 3.2). Gewichtige Interessen des Beschwerdeführers daran, keine solche Sicherung erstellen zu müssen, werden weder geltend gemacht noch wären solche ersichtlich. Die Interessen an der provisorischen Absturzsicherung überwiegen, und der vorinstanzliche Entzug der aufschiebenden Wirkung ist zu bestätigen (E. 3.3). Abweisung.</w:t>
      </w:r>
    </w:p>
    <w:p>
      <w:pPr>
        <w:pStyle w:val="Heading2"/>
      </w:pPr>
      <w:r>
        <w:t>Erwägungen</w:t>
      </w:r>
    </w:p>
    <w:p>
      <w:r>
        <w:rPr>
          <w:b/>
        </w:rPr>
        <w:t>E. 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unter anderem zulässig, wenn sie einen nicht wiedergutzumachenden Nachteil bewirken können. Die Frage, ob ein nicht wiedergutzumachender Nachteil gegeben ist, kann vorliegend offengelassen werden, da die Beschwerde ohnehin abzuweisen ist (vgl. nachfolgende E. 3 f.).</w:t>
      </w:r>
    </w:p>
    <w:p>
      <w:r>
        <w:rPr>
          <w:b/>
        </w:rPr>
        <w:t>E. 2.1</w:t>
      </w:r>
    </w:p>
    <w:p>
      <w:r>
        <w:t>Gemäss § 25 Abs. 3 VRG ist der Entzug der aufschiebenden Wirkung zulässig beim Vorliegen besonderer Gründe, das heisst, es müssen bedeutende und dringliche öffentliche und/oder private Anliegen den Interessen an einem Aufschub der Wirksamkeit der Anordnung bis zur endgültigen Klärung der Rechtslage vorgehen. An die in § 25 VRG aufgeführten besonderen Gründe sind relativ hohe Anforderungen zu stellen (BEZ 2004 Nr. 43 E. 4 mit Hinweis). Es muss sich um qualifizierte und überzeugende Gründe handeln, ohne dass allerdings ganz ausserordentliche Gründe vorliegen müssten. Es ist erforderlich, dass ein schwerer Nachteil droht, falls die aufschiebende Wirkung nicht entzogen würde (Regina Kiener in: Alain Griffel [Hrsg.], Kommentar zum Verwaltungsrechtspflegegesetz des Kantons Zürich [VRG], 3. A., Zürich etc. 2014 [Kommentar VRG], § 25 N. 26).</w:t>
      </w:r>
    </w:p>
    <w:p>
      <w:r>
        <w:rPr>
          <w:b/>
        </w:rPr>
        <w:t>E. 2.2</w:t>
      </w:r>
    </w:p>
    <w:p>
      <w:r>
        <w:t>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zutage treten (VGr, 31. März 2010, VB.2010.00079, E. 3.1 mit Hinweis; Kiener, Kommentar VRG, § 25 N. 28). Der Entzug bzw. die Wiederherstellung der aufschiebenden Wirkung ist in einem summarischen Verfahren zu beurteilen (vgl. Kiener, Kommentar VRG, § 25 N. 35).</w:t>
      </w:r>
    </w:p>
    <w:p>
      <w:r>
        <w:rPr>
          <w:b/>
        </w:rPr>
        <w:t>E. 3.1</w:t>
      </w:r>
    </w:p>
    <w:p>
      <w:r>
        <w:t>Der Beschwerdeführer bringt vor, die Griffe an den fraglichen Balkontüren seien abmontiert worden und die Absturzsicherung sei unnötig, da eine Terraindifferenz von weniger als einem Meter bestehe. Ausserdem sei ihm betreffend den giebelseitigen Balkon eine längere Frist anzusetzen, da er infolge Ferienabwesenheit der Mieterin die Wohnung gegenwärtig nicht betreten könne.</w:t>
      </w:r>
    </w:p>
    <w:p>
      <w:r>
        <w:rPr>
          <w:b/>
        </w:rPr>
        <w:t>E. 3.2</w:t>
      </w:r>
    </w:p>
    <w:p>
      <w:r>
        <w:t>Aus den vorinstanzlichen Akten ergibt sich ohne Weiteres, dass bedeutende und dringliche Interessen an der Absturzsicherung vorliegen: Entgegen den beschwerdeführerischen Vorbringen bestehen grosse Terraindifferenzen – namentlich führen im ersten Obergeschoss des Bauobjekts die an der Fassade mehrere Meter über dem Terrain befindlichen, im Gebäudeinneren bodenebenen Balkontüren ungesichert ins Leere. Die Vermeidung des hierdurch entstehenden Absturzrisikos und der damit einhergehenden Gefahr für Leib und Leben ist offenkundig ein sehr gewichtiges Interesse.</w:t>
      </w:r>
    </w:p>
    <w:p>
      <w:r>
        <w:rPr>
          <w:b/>
        </w:rPr>
        <w:t>E. 3.3</w:t>
      </w:r>
    </w:p>
    <w:p>
      <w:r>
        <w:t>Unter dem Aspekt der Verhältnismässigkeit macht die Beschwerdegegnerin zu Recht geltend, dass die Entfernung der Türgriffe keine geeignete Massnahme ist, um die Sicherheit der Bewohnerinnen und Bewohner zu gewährleisten. Abgesehen davon, dass die Griffe jederzeit sofort wieder angeschraubt werden können, lassen sich Türen auch ohne Griffe öffnen. Zudem kann eine provisorische Absturzsicherung von aussen angebracht werden, weshalb es unerheblich ist, ob die betroffenen Wohnungen betreten werden können oder nicht. Weiter hat das Baurekursgericht eine bloss provisorische Absturzsicherung angeordnet, um keine Präjudizierung in der Hauptsache herbeizuführen. Eine solche Absturzsicherung lässt sich ohne grossen Aufwand installieren. Gewichtige Interessen des Beschwerdeführers daran, keine solche Sicherung erstellen zu müssen, werden weder geltend gemacht noch wären solche ersichtlich. Zusammengefasst überwiegen die Interessen an der provisorischen Absturzsicherung, und der vorinstanzliche Entzug der aufschiebenden Wirkung ist zu bestätigen.</w:t>
      </w:r>
    </w:p>
    <w:p>
      <w:r>
        <w:rPr>
          <w:b/>
        </w:rPr>
        <w:t>E. 4</w:t>
      </w:r>
    </w:p>
    <w:p>
      <w:r>
        <w:t>Nach dem Gesagten ist die Beschwerde abzuweisen. Ausgangsgemäss sind die Kosten des Beschwerdeverfahrens dem Beschwerdeführer aufzuerlegen (§ 65a in Verbindung mit § 13 Abs. 2 VRG). Bei diesem Verfahrensausgang steht ihm keine Parteientschädigung zu (§ 17 Abs. 2 VRG).</w:t>
      </w:r>
    </w:p>
    <w:p>
      <w:r>
        <w:rPr>
          <w:b/>
        </w:rPr>
        <w:t>E. 5</w:t>
      </w:r>
    </w:p>
    <w:p>
      <w:r>
        <w:t>Der vorliegende Entscheid stellt einen Zwischenentscheid dar. Dieser kann nur unter den Voraussetzungen von Art. 93 BGG selbständig beim Bundesgericht angefochten werden (vgl. dazu BGr, 20. Juni 2012, 1C_522/2011, E. 1.2). Hinzuweisen ist sodann auf Art. 98 BGG, wonach mit der Beschwerde gegen Entscheide über vorsorgliche Massnahmen nur die Verletzung verfassungsmässiger Rechte gerügt werden kann, und auf Art. 46 Abs. 2 lit. a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