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VB.2024.00236 vom 19. November 2024</w:t>
      </w:r>
    </w:p>
    <w:p>
      <w:r>
        <w:t>ZH Verwaltungsgericht, 2024-11-19, DE</w:t>
      </w:r>
    </w:p>
    <w:p>
      <w:r>
        <w:rPr>
          <w:b/>
        </w:rPr>
        <w:t xml:space="preserve">Quelle: </w:t>
      </w:r>
      <w:r>
        <w:t>https://mcp.opencaselaw.ch/entscheid/zh_verwaltungsgericht__VB.2024.00236</w:t>
      </w:r>
    </w:p>
    <w:p>
      <w:r>
        <w:t>FR: ZH_VERWALTUNGSGERICHT VB.2024.00236 du 19 novembre 2024</w:t>
      </w:r>
    </w:p>
    <w:p>
      <w:r>
        <w:t>IT: ZH_VERWALTUNGSGERICHT VB.2024.00236 del 19 novembre 2024</w:t>
      </w:r>
    </w:p>
    <w:p>
      <w:pPr>
        <w:pStyle w:val="Heading2"/>
      </w:pPr>
      <w:r>
        <w:t>Regeste</w:t>
      </w:r>
    </w:p>
    <w:p>
      <w:r>
        <w:t>Aufenthaltsbewilligung | [Nichtverlängerung der Aufenthaltsbewilligung eines 34-jährigen Kosovaren, der seit sieben Jahren in der Schweiz lebt.] Ein Schreiben im Rekursverfahren, mit dem der Beschwerdeführer um Erstreckung der Ausreisefrist zur Kündigung seiner Wohnung und seines Arbeitsverhältnisses in der Schweiz mit Blick auf die Ausreise ersucht, ist kein ausdrücklicher Rekursrückzug. Die Vorinstanz hätte das Verfahren entsprechend nicht abschreiben dürfen (E. 2.1). Eine Rückweisung kann unterbleiben, da die Sache sich als spruchreif und eindeutig erweist (E. 2.2). Der Beschwerdeführer lebt weiterhin getrennt von seiner Ehefrau und die eheliche Gemeinschaft dauerte weniger als drei Jahre. Es sind zudem keine wichtigen persönlichen Gründe im Sinn von Art. 50 Abs. 2 AIG ersichtlich. Der Beschwerdeführer hat entsprechend keinen Anspruch auf Verlängerung seiner Aufenthaltsbewilligung (E. 3.3-3.4). Teilweise Kostenauflage an die Vorinstanz aufgrund des Verfahrensfehlers (E. 4). Abweisung.</w:t>
      </w:r>
    </w:p>
    <w:p>
      <w:pPr>
        <w:pStyle w:val="Heading2"/>
      </w:pPr>
      <w:r>
        <w:t>Erwägungen</w:t>
      </w:r>
    </w:p>
    <w:p>
      <w:r>
        <w:rPr>
          <w:b/>
        </w:rPr>
        <w:t>E. 4</w:t>
      </w:r>
    </w:p>
    <w:p>
      <w:r>
        <w:t>Die Gerichtskosten sind aufgrund der unzulässigen Abschreibung des Rekursverfahrens zur Hälfte der Vorinstanz (vorne E. 2.2) und im Übrigen dem in der Sache unterliegenden Beschwerdeführer aufzuerlegen (§ 65a Abs. 2 in Verbindung mit § 13 Abs. 2 Satz 1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