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VB.2024.00210 vom 23. August 2023</w:t>
      </w:r>
    </w:p>
    <w:p>
      <w:r>
        <w:t>ZH Verwaltungsgericht, 2023-08-23, DE</w:t>
      </w:r>
    </w:p>
    <w:p>
      <w:r>
        <w:rPr>
          <w:b/>
        </w:rPr>
        <w:t xml:space="preserve">Quelle: </w:t>
      </w:r>
      <w:r>
        <w:t>https://mcp.opencaselaw.ch/entscheid/zh_verwaltungsgericht__VB.2024.00210</w:t>
      </w:r>
    </w:p>
    <w:p>
      <w:r>
        <w:t>FR: ZH_VERWALTUNGSGERICHT VB.2024.00210 du 23 août 2023</w:t>
      </w:r>
    </w:p>
    <w:p>
      <w:r>
        <w:t>IT: ZH_VERWALTUNGSGERICHT VB.2024.00210 del 23 agosto 2023</w:t>
      </w:r>
    </w:p>
    <w:p>
      <w:pPr>
        <w:pStyle w:val="Heading2"/>
      </w:pPr>
      <w:r>
        <w:t>Regeste</w:t>
      </w:r>
    </w:p>
    <w:p>
      <w:r>
        <w:t>Beschluss des Gemeinderats Zürich vom 23. August 2023 | [Der Stadtrat von Zürich beantragte dem Gemeinderat der Stadt Zürich mit Weisung vom 8. Februar 2023 eine Änderung des Ergänzungsplans Kernzone City. Der Gemeinderat wies die Weisung mit Beschluss vom 23. August 2023 an den Stadtrat zur Überarbeitung zurück. Dagegen rekurrierte die Eigentümerin eines Grundstücks im Perimeter der fraglichen Planungsrevision an das Baurekursgericht. Dieses trat mangels eines tauglichen Anfechtungsobjekts nicht auf den Rekurs ein.] Der Stadtrat von Zürich wird in Nachachtung des gemeinderätlichen Beschlusses vom 23. August 2023 seinen Antrag auf Änderung des Ergänzungsplans Kernzone City zu überarbeiten und alsdann dem Gemeinderat erneut zur Beschlussfassung vorzulegen haben. Unmittelbar verbindliche Auswirkungen auf die Rechte und/oder Pflichten Privater bzw. der Grundeigentümerin zeitigt der streitbetroffene Beschluss nicht. Auch sind keine schutzwürdigen Interessen der Grundeigentümerin an der Anfechtung des Beschlusses vom 23. August 2023 ersichtlich. Die Vorinstanz ist zu Recht nicht auf den Rekurs eingetreten (zum Ganzen E. 2.4 f.). Abweisung.</w:t>
      </w:r>
    </w:p>
    <w:p>
      <w:pPr>
        <w:pStyle w:val="Heading2"/>
      </w:pPr>
      <w:r>
        <w:t>Erwägungen</w:t>
      </w:r>
    </w:p>
    <w:p>
      <w:r>
        <w:rPr>
          <w:b/>
        </w:rPr>
        <w:t>E. 3</w:t>
      </w:r>
    </w:p>
    <w:p>
      <w:r>
        <w:t>Die Beschwerde ist abzuweisen.</w:t>
      </w:r>
    </w:p>
    <w:p>
      <w:r>
        <w:rPr>
          <w:b/>
        </w:rPr>
        <w:t>E. 4.1</w:t>
      </w:r>
    </w:p>
    <w:p>
      <w:r>
        <w:t>Ausgangsgemäss sind die Gerichtskosten der Beschwerdeführerin aufzuerlegen (§ 65a Abs. 2 in Verbindung mit § 13 Abs. 2 Satz 1 VRG) und ist ihr keine Parteientschädigung zuzusprechen (§ 17 Abs. 2 VRG). Bei der Festsetzung der Gerichtskosten ist dem erhöhten Aufwand in der Prozessleitung Rechnung zu tragen.</w:t>
      </w:r>
    </w:p>
    <w:p>
      <w:r>
        <w:rPr>
          <w:b/>
        </w:rPr>
        <w:t>E. 4.2</w:t>
      </w:r>
    </w:p>
    <w:p>
      <w:r>
        <w:t>Nach § 17 Abs. 2 VRG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Gestützt auf § 17 Abs. 2 lit. a VRG hat das Gemeinwesen in der Regel – und so auch hier – keinen Anspruch auf eine Parteientschädigung, weil das Erheben und Beantworten von Rechtsmitteln zu den angestammten amtlichen Aufgaben gehört und die Behörden gegenüber den Privaten meist über einen Wissensvorsprung verfügen (RB 2008 Nr. 18 E. 2.3.1; Kaspar Plüss, Kommentar VRG, § 17 N. 51). Auch dem Beschwerdegegner bleibt eine solche mithin verwehrt.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