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VB.2024.00190 vom 21. Dezember 2011</w:t>
      </w:r>
    </w:p>
    <w:p>
      <w:r>
        <w:t>ZH Verwaltungsgericht, 2011-12-21, DE</w:t>
      </w:r>
    </w:p>
    <w:p>
      <w:r>
        <w:rPr>
          <w:b/>
        </w:rPr>
        <w:t xml:space="preserve">Quelle: </w:t>
      </w:r>
      <w:r>
        <w:t>https://mcp.opencaselaw.ch/entscheid/zh_verwaltungsgericht__VB.2024.00190</w:t>
      </w:r>
    </w:p>
    <w:p>
      <w:r>
        <w:t>FR: ZH_VERWALTUNGSGERICHT VB.2024.00190 du 21 décembre 2011</w:t>
      </w:r>
    </w:p>
    <w:p>
      <w:r>
        <w:t>IT: ZH_VERWALTUNGSGERICHT VB.2024.00190 del 21 dicembre 2011</w:t>
      </w:r>
    </w:p>
    <w:p>
      <w:pPr>
        <w:pStyle w:val="Heading2"/>
      </w:pPr>
      <w:r>
        <w:t>Regeste</w:t>
      </w:r>
    </w:p>
    <w:p>
      <w:r>
        <w:t>Kostenauflage | [Im Zusammenhang mit der Sitzverlegung seines Einzelunternehmens in den Kanton Zürich wurde dem Beschwerdeführer ein Betrag über Fr. 162.30 in Rechnung gestellt. Er bezahlte davon lediglich Fr. 142.30 und weigerte sich, die im Rechnungsbetrag enthaltene Korrespondenzgebühr über Fr. 20.- zu bezahlen. Nach erfolgloser Mahnung wurde von ihm zusätzlich eine Mahngebühr in Höhe von Fr. 20.- erhoben.] Wie der Beschwerdegegner dem Verwaltungsgericht in der Beschwerdeantwort mitteilte, verzichtete er nach Eingang des vollständigen Rechnungsbetrags (nachträglich) auf die Geltendmachung der Mahngebühr über Fr. 20.-. Soweit nicht schon von Anfang an gegenstandslos, ist die Beschwerde daher in dem betreffenden Umfang als durch Rückzug erledigt abzuschreiben. (E. 2). Die vom Beschwerdegegner erhobene "Korrespondenzgebühr" erweist sich als rechtmässig (E. 3). Abweisung der Beschwerde, soweit sie nicht als gegenstandslos geworden abgeschrieben wird.</w:t>
      </w:r>
    </w:p>
    <w:p>
      <w:pPr>
        <w:pStyle w:val="Heading2"/>
      </w:pPr>
      <w:r>
        <w:t>Erwägungen</w:t>
      </w:r>
    </w:p>
    <w:p>
      <w:r>
        <w:rPr>
          <w:b/>
        </w:rPr>
        <w:t>E. 4</w:t>
      </w:r>
    </w:p>
    <w:p>
      <w:r>
        <w:t>Ausgangsgemäss gilt es die – angemessen zu reduzierenden (vgl. § 4 Abs. 2 der Gebührenverordnung des Verwaltungsgerichts vom 3. Juli 2018 [LS 175.252]; siehe auch VGr, 21. Dezember 2011, VB.2011.00445, E. 4.1 [nicht publiziert]) – Gerichtskosten dem unterliegenden Beschwerdeführer aufzuerlegen (§ 65a Abs. 2 in Verbindung mit § 13 Abs. 2 Satz 1 VRG).</w:t>
      </w:r>
    </w:p>
    <w:p>
      <w:r>
        <w:rPr>
          <w:b/>
        </w:rPr>
        <w:t>E. 5</w:t>
      </w:r>
    </w:p>
    <w:p>
      <w:r>
        <w:t>Zur Rechtsmittelbelehrung des nachstehenden Urteilsdispositivs bleibt Folgendes zu erläutern: Art. 72 Abs. 2 lit. b Ziff. 2 des Bundesgerichtsgesetzes vom 17. Juni 2005 (BGG, SR 173.110) lässt die Beschwerde in Zivilsachen auf dem Gebiet des Handelsregisters zwar prinzipiell zu, im Sinn des Art. 74 Abs. 1 lit. b und Abs. 2 lit. a BGG bei – wie hier – Fr. 30'000.- unterschreitendem Streitwert allerdings lediglich, falls sich eine Rechtsfrage grundsätzlicher Bedeutung stellt. Ansonsten steht bloss die subsidiäre Verfassungsbeschwerde nach Art. 113 ff. BGG zu Gebot.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