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VB.2024.00119 vom 19. Dezember 2024</w:t>
      </w:r>
    </w:p>
    <w:p>
      <w:r>
        <w:t>ZH Verwaltungsgericht, 2024-12-19, DE</w:t>
      </w:r>
    </w:p>
    <w:p>
      <w:r>
        <w:rPr>
          <w:b/>
        </w:rPr>
        <w:t xml:space="preserve">Quelle: </w:t>
      </w:r>
      <w:r>
        <w:t>https://mcp.opencaselaw.ch/entscheid/zh_verwaltungsgericht__VB.2024.00119</w:t>
      </w:r>
    </w:p>
    <w:p>
      <w:r>
        <w:t>FR: ZH_VERWALTUNGSGERICHT VB.2024.00119 du 19 décembre 2024</w:t>
      </w:r>
    </w:p>
    <w:p>
      <w:r>
        <w:t>IT: ZH_VERWALTUNGSGERICHT VB.2024.00119 del 19 dicembre 2024</w:t>
      </w:r>
    </w:p>
    <w:p>
      <w:pPr>
        <w:pStyle w:val="Heading2"/>
      </w:pPr>
      <w:r>
        <w:t>Regeste</w:t>
      </w:r>
    </w:p>
    <w:p>
      <w:r>
        <w:t>Nichtverlängerung der Aufenthaltsbewilligung | [Nichtverlängerung der Aufenthaltsbewilligung eines Staatsangehörigen der Dominikanischen Republik mangels Vorliegens eines nachehelichen Härtefalls.] Verneinung eines nachehelichen Härtefalls des mittlerweile von seiner brasilianischen, niederlassungsberechtigten Ehefrau geschiedenen Beschwerdeführers, der aufgrund des Sozialhilfebezugs und seiner Straffälligkeit die Integrationskriterien nach Art. 58a AIG nicht erfüllt. Vorliegend zulässige Berücksichtigung der strafrechtlichen Verurteilung, mit welcher auf eine Landesverweisung verzichtet wurde, bei der Überprüfung der Integration (E. 2). Kein Aufenthaltsanspruch aus der Beziehung zu seinen Töchtern mangels hinreichend enger wirtschaftlicher Beziehung und weitgehend tadellosen Verhaltens (E. 3). Abweisung</w:t>
      </w:r>
    </w:p>
    <w:p>
      <w:pPr>
        <w:pStyle w:val="Heading2"/>
      </w:pPr>
      <w:r>
        <w:t>Erwägungen</w:t>
      </w:r>
    </w:p>
    <w:p>
      <w:r>
        <w:rPr>
          <w:b/>
        </w:rPr>
        <w:t>E. 4</w:t>
      </w:r>
    </w:p>
    <w:p>
      <w:r>
        <w:t>Eine Kindesanhörung erweist sich bei dieser Sachlage im vorliegenden Verfahren als nicht notwendig (vgl. BGE 147 I 149 E. 3.2).</w:t>
      </w:r>
    </w:p>
    <w:p>
      <w:r>
        <w:rPr>
          <w:b/>
        </w:rPr>
        <w:t>E. 5</w:t>
      </w:r>
    </w:p>
    <w:p>
      <w:r>
        <w:t>Die Beschwerde ist abzuweisen. Ausgangsgemäss sind die Gerichtskosten dem Beschwerdeführer aufzuerlegen (§ 65a Abs. 2 in Verbindung mit § 13 Abs. 2 Satz 1 VRG) und es steht ihm keine Parteientschädigung zu (§ 17 Abs. 2 VRG).</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