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VB.2024.00112 vom 30. August 2023</w:t>
      </w:r>
    </w:p>
    <w:p>
      <w:r>
        <w:t>ZH Verwaltungsgericht, 2023-08-30, DE</w:t>
      </w:r>
    </w:p>
    <w:p>
      <w:r>
        <w:rPr>
          <w:b/>
        </w:rPr>
        <w:t xml:space="preserve">Quelle: </w:t>
      </w:r>
      <w:r>
        <w:t>https://mcp.opencaselaw.ch/entscheid/zh_verwaltungsgericht__VB.2024.00112</w:t>
      </w:r>
    </w:p>
    <w:p>
      <w:r>
        <w:t>FR: ZH_VERWALTUNGSGERICHT VB.2024.00112 du 30 août 2023</w:t>
      </w:r>
    </w:p>
    <w:p>
      <w:r>
        <w:t>IT: ZH_VERWALTUNGSGERICHT VB.2024.00112 del 30 agosto 2023</w:t>
      </w:r>
    </w:p>
    <w:p>
      <w:pPr>
        <w:pStyle w:val="Heading2"/>
      </w:pPr>
      <w:r>
        <w:t>Regeste</w:t>
      </w:r>
    </w:p>
    <w:p>
      <w:r>
        <w:t>Kostengutsprache für eine ausserkantonale Schulung | Die Vorinstanz berücksichtigte die Rekursantwort der Beschwerdeführenden vom 30. August 2023 nicht. Diese war zwar – offenkundig versehentlich – nicht ganz eindeutig adressiert und wurde denn auch vom verwaltungsinternen Postdienst irrtümlich dem Volksschulamt zugestellt. Das schadet den Beschwerdeführenden jedoch nicht, weil die Zustellung unter diesen Umständen fristwahrend und das Volksschulamt zur Weiterleitung verpflichtet war. Hierzu wäre das Amt auch ohne Weiteres imstande gewesen (zum Ganzen E. 2.3). Damit liegt eine Verletzung des Anspruchs der Beschwerdeführenden auf rechtliches Gehör vor, die das Verwaltungsgericht nicht heilen kann (E. 2.4). Teilweise Gutheissung und Rückweisung.</w:t>
      </w:r>
    </w:p>
    <w:p>
      <w:pPr>
        <w:pStyle w:val="Heading2"/>
      </w:pPr>
      <w:r>
        <w:t>Erwägungen</w:t>
      </w:r>
    </w:p>
    <w:p>
      <w:r>
        <w:rPr>
          <w:b/>
        </w:rPr>
        <w:t>E. 4</w:t>
      </w:r>
    </w:p>
    <w:p>
      <w:r>
        <w:t>Eine besondere Begabung ist keine Behinderung im Sinn von Art. 2 Abs. 1 des Behindertengleichstellungsgesetzes vom 13. Dezember 2002 (BehiG, SR 151.3). Damit gebricht es bei den Beschwerdeführenden bzw. bei ihrem Sohn an einem Anspruch nach Art. 7 oder Art. 8 BehiG und ist Art. 10 Abs. 1 BehiG betreffend die grundsätzliche Kostenfreiheit nicht anzuwenden (BGr, 1. Mai 2012, 2C_930/2011, E. 3.3 ff.). Die Rückweisung der Sache an die Vorinstanz zu erneutem Entscheid (mit noch offenem Ausgang) gilt für die Frage der Auferlegung der Gerichtskosten als vollständiges Obsiegen, unabhängig davon, ob sie beantragt oder ob das entsprechende Begehren im Haupt- oder im Eventualantrag gestellt wird. Ausgangsgemäss sind die (reduzierten) Kosten des Beschwerdeverfahrens deshalb dem Beschwerdegegner aufzuerlegen (§ 65a Abs. 2 in Verbindung mit § 13 Abs. 2 Satz 1 VRG). Dies entspricht im konkreten Fall auch dem Verursacherprinzip (§ 13 Abs. 2 Satz 2 VRG), war doch die Missachtung der Weiterleitungspflicht der Grund dafür, dass die Vorinstanz die Vernehmlassung nicht berücksichtigen konnte .</w:t>
      </w:r>
    </w:p>
    <w:p>
      <w:r>
        <w:rPr>
          <w:b/>
        </w:rPr>
        <w:t>E. 5</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 Zu beachten ist zudem, dass l etztinstanzliche kantonale Rückweisungsentscheide als Zwischenentscheide im Sinn von Art. 93 BGG zu qualifizieren sind ( BGE 138 I 143 E. 1.2, 133 V 477 E. 4.2 ). Sie sind daher vor Bundesgericht nur direkt anfechtbar, wenn sie einen nicht wiedergutzumachenden Nachteil bewirken können oder wenn die Gutheissung der Beschwerde sofort einen Endentscheid herbeiführen und damit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