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VB.2024.00103 vom 10. März 2025</w:t>
      </w:r>
    </w:p>
    <w:p>
      <w:r>
        <w:t>ZH Verwaltungsgericht, 2025-03-10, DE</w:t>
      </w:r>
    </w:p>
    <w:p>
      <w:r>
        <w:rPr>
          <w:b/>
        </w:rPr>
        <w:t xml:space="preserve">Quelle: </w:t>
      </w:r>
      <w:r>
        <w:t>https://mcp.opencaselaw.ch/entscheid/zh_verwaltungsgericht__VB.2024.00103</w:t>
      </w:r>
    </w:p>
    <w:p>
      <w:r>
        <w:t>FR: ZH_VERWALTUNGSGERICHT VB.2024.00103 du 10 mars 2025</w:t>
      </w:r>
    </w:p>
    <w:p>
      <w:r>
        <w:t>IT: ZH_VERWALTUNGSGERICHT VB.2024.00103 del 10 marzo 2025</w:t>
      </w:r>
    </w:p>
    <w:p>
      <w:pPr>
        <w:pStyle w:val="Heading2"/>
      </w:pPr>
      <w:r>
        <w:t>Regeste</w:t>
      </w:r>
    </w:p>
    <w:p>
      <w:r>
        <w:t>Sozialhilfe (unentgeltliche Rechtspflege) | Sozialhilfe: unentgeltliche Rechtspflege. [Die Vorinstanz gewährte dem Beschwerdeführer die unentgeltliche Rechtsverbeiständung, ohne letzterer eine Entschädigung zuzusprechen. Stattdessen wurde eine Parteientschädigung zugesprochen, deren Höhe nach der Entschädigung der unentgeltlichen Rechtsbeiständin und unter Einbezug der Honorarnote bemessen wurde. Für das Sozialhilfeverfahren wurde die unentgeltliche Rechtsverbeiständung mit zeitlicher Beschränkung gewährt.] Die unentgeltliche Rechtspflege wird für einen bestimmten Zeitraum gewährt (E. 3.3). Sie kann nicht zeitlich unbeschränkt für einen Dauersachverhalt wie das Verfahren vor der Verwaltungsbehörde betreffend Sozialhilfe, sondern nur in Bezug auf einen konkreten Sachverhalt gewährt werden (E. 3.4). Das Gesuch um unentgeltliche Rechtsverbeiständung wäre aufgrund des Obsiegens und der Zusprechung einer vollen Parteientschädigung als gegenstandslos geworden abzuschreiben gewesen; der Beschwerdeführer ist jedoch mangels Kostenauflage und mangels Entschädigung der unentgeltlichen Rechtsbeiständin durch die grundsätzliche Rückerstattungspflicht nicht beschwert (E. 4). Es besteht kein Anspruch auf Zusprechung einer (vollen) Parteientschädigung in der Höhe der eingereichten Honorarnote. Es ist nicht zu beanstanden, dass die Vorinstanz in pflichtgemässer Ausübung ihres Ermessens zunächst anhand der Honorarnote die notwendigen Aufwendungen festlegte und gestützt darauf die Parteientschädigung bemass (E.5.5-6). Die Rügen betreffend Aktenführungspflicht sind aufsichtsrechtlicher Natur; dem Verwaltungsgericht kommt keine Aufsichtsfunktion zu (E. 6). Abweisung, soweit Eintreten. Gewährung UP/URB.</w:t>
      </w:r>
    </w:p>
    <w:p>
      <w:pPr>
        <w:pStyle w:val="Heading2"/>
      </w:pPr>
      <w:r>
        <w:t>Erwägungen</w:t>
      </w:r>
    </w:p>
    <w:p>
      <w:r>
        <w:rPr>
          <w:b/>
        </w:rPr>
        <w:t>E. 7.1</w:t>
      </w:r>
    </w:p>
    <w:p>
      <w:r>
        <w:t>Nach dem Gesagten ist die Beschwerde abzuweisen, soweit darauf einzutreten ist.</w:t>
      </w:r>
    </w:p>
    <w:p>
      <w:r>
        <w:rPr>
          <w:b/>
        </w:rPr>
        <w:t>E. 7.2</w:t>
      </w:r>
    </w:p>
    <w:p>
      <w:r>
        <w:t>Ausgangsgemäss sind die Gerichtskosten dem Beschwerdeführer aufzuerlegen (§ 65a Abs. 2 in Verbindung mit § 13 Abs. 2 VRG). Die Beschwerdegegnerin hat keine Parteientschädigung verlangt und überdies handelt es sich bei ihr um ein Gemeinwesen, für welches die Führung von Rechtsmittelprozessen zu den üblichen Amtstätigkeiten gehört, zumal das vorliegende Verfahren weder mit besonderem Aufwand verbunden war noch den Beizug eines Rechtsbeistands rechtfertigte (Plüss, § 17 N. 51). Dem Beschwerdeführer bleibt eine Parteientschädigung schon mangels Obsiegens versagt (§ 17 Abs. 2 VRG).</w:t>
      </w:r>
    </w:p>
    <w:p>
      <w:r>
        <w:rPr>
          <w:b/>
        </w:rPr>
        <w:t>E. 7.3.1</w:t>
      </w:r>
    </w:p>
    <w:p>
      <w:r>
        <w:t>Zu prüfen bleibt das Gesuch des Beschwerdeführers um unentgeltliche Rechtspflege für das Beschwerdeverfahren. Zu den Voraussetzungen gemäss § 16 VRG ist auf obige Erwägung zu verweisen (vgl. E. 2.1).</w:t>
      </w:r>
    </w:p>
    <w:p>
      <w:r>
        <w:rPr>
          <w:b/>
        </w:rPr>
        <w:t>E. 7.3.2</w:t>
      </w:r>
    </w:p>
    <w:p>
      <w:r>
        <w:t>Die Mittellosigkeit des Beschwerdeführers ist aufgrund seiner Sozialhilfeabhängigkeit als erstellt zu erachten. Die Begehren des Beschwerdeführers sind nicht offensichtlich aussichtslos. Dem Verfahren ist aufgrund des Streitgegenstands und der – wie von der Vorinstanz festgestellt – unübersichtlichen Aktenführung der Beschwerdegegnerin eine gewisse Komplexität in sachlicher und rechtlicher Hinsicht nicht abzusprechen. Dazu kommt, dass der Beschwerdeführer – wie bereits im vorinstanzlichen Verfahren – aufgrund seiner gesundheitlichen Situation nicht in der Lage zu sein scheint, seinen Standpunkt im vorliegenden Verfahren wirksam selbst zu vertreten (vgl. oben E. 3.1). Dem Beschwerdeführer ist deshalb die unentgeltliche Prozessführung und unentgeltliche Rechtsverbeiständung für das Beschwerdeverfahren zu gewähren.</w:t>
      </w:r>
    </w:p>
    <w:p>
      <w:r>
        <w:rPr>
          <w:b/>
        </w:rPr>
        <w:t>E. 7.3.3</w:t>
      </w:r>
    </w:p>
    <w:p>
      <w:r>
        <w:t>Gemäss § 9 Abs. 1 GebV VGr erhält die unentgeltliche Rechtsbeiständin – wie ausgeführt (vgl. E. 5.4) – den notwendigen Zeitaufwand gemäss AnwGebV entschädigt, wobei die Bedeutung der Streitsache und die Schwierigkeit des Prozesses berücksichtigt und Barauslagen separat entschädigt werden (vgl. Plüss, § 16 N. 90). Wie vorstehend erwähnt beträgt gemäss § 3 AnwGebV der Stundenansatz für unentgeltliche Rechtsvertretungen in der Regel Fr. 220.–.</w:t>
      </w:r>
    </w:p>
    <w:p>
      <w:r>
        <w:rPr>
          <w:b/>
        </w:rPr>
        <w:t>E. 7.3.4</w:t>
      </w:r>
    </w:p>
    <w:p>
      <w:r>
        <w:t>Rechtsanwältin B macht in ihrer auf telefonische Aufforderung hin eingereichten Honorarnote vom 25. Februar 2025 einen Zeitaufwand von 12,66 Stunden sowie Barauslagen in Höhe von Fr. 17.40 geltend. Unter Berücksichtigung des Umstands, dass die Rechtsvertreterin den Beschwerdeführer bereits im vorinstanzlichen Verfahren vertrat, im Lichte des auf die Anfechtung von Nebenfolgen beschränkten Streitgegenstands sowie nach Umfang und Art der angemessenen Bemühungen rechtfertigt sich eine Entschädigung des Zeitaufwands von höchstens 10 Stunden. Die Barauslagen sind nicht zu beanstanden. Demnach ist Rechtsanwältin B für ihren Aufwand im Beschwerdeverfahren mit Fr. 2'200.– plus Barauslagen von Fr. 17.40 zuzüglich 8,1 % Mehrwertsteuer auf den Gesamtbetrag (Fr. 179.60), also mit total Fr. 2'397.–, zu entschädigen.</w:t>
      </w:r>
    </w:p>
    <w:p>
      <w:r>
        <w:rPr>
          <w:b/>
        </w:rPr>
        <w:t>E. 7.3.5</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