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VB.2024.00082 vom 15. März 2024</w:t>
      </w:r>
    </w:p>
    <w:p>
      <w:r>
        <w:t>ZH Verwaltungsgericht, 2024-03-15, DE</w:t>
      </w:r>
    </w:p>
    <w:p>
      <w:r>
        <w:rPr>
          <w:b/>
        </w:rPr>
        <w:t xml:space="preserve">Quelle: </w:t>
      </w:r>
      <w:r>
        <w:t>https://mcp.opencaselaw.ch/entscheid/zh_verwaltungsgericht__VB.2024.00082</w:t>
      </w:r>
    </w:p>
    <w:p>
      <w:r>
        <w:t>FR: ZH_VERWALTUNGSGERICHT VB.2024.00082 du 15 mars 2024</w:t>
      </w:r>
    </w:p>
    <w:p>
      <w:r>
        <w:t>IT: ZH_VERWALTUNGSGERICHT VB.2024.00082 del 15 marzo 2024</w:t>
      </w:r>
    </w:p>
    <w:p>
      <w:pPr>
        <w:pStyle w:val="Heading2"/>
      </w:pPr>
      <w:r>
        <w:t>Regeste</w:t>
      </w:r>
    </w:p>
    <w:p>
      <w:r>
        <w:t>Abfallgebühren (Kostenauflage) | Abfallgebühren (Kostenauflage). Der Bezirksrat war berechtigt, Verfahrenskosten zu erheben und diese entsprechend dem Unterliegerprinzip den Beschwerdeführenden im Umfang von zwei Dritteln unter solidarischer Haftung aufzuerlegen. Dass den Beschwerdeführenden die massgeblichen Gesetzes- und Verordnungsbestimmungen über die Kostenpflicht nicht bekannt waren, ändert daran nichts, gilt doch der allgemeine Grundsatz, dass niemand Vorteile aus seiner eigenen Rechtsunkenntnis ableiten kann. Nicht zu beanstanden ist, dass in der Publikation des gemeinderätlichen Beschlusses nicht auf die fehlende Kostenlosigkeit eines Rekursverfahrens hingewiesen wurde. Auch der Bezirksrat war nicht verpflichtet, die Beschwerdeführenden darüber zu informieren (E. 2.3). Die Zusammensetzung der Kosten des Rekursverfahrens sind ausreichend detailliert ausgewiesen. Die Staatsgebühr bewegt sich im von der Gebührenordnung vorgegebenen Rahmen und erscheint nicht als unangemessen hoch. Ebenso wenig zu beanstanden sind die Schreibgebühr und veranschlagten Kosten für die Porti (E. 2.4). Abweisung.</w:t>
      </w:r>
    </w:p>
    <w:p>
      <w:pPr>
        <w:pStyle w:val="Heading2"/>
      </w:pPr>
      <w:r>
        <w:t>Erwägungen</w:t>
      </w:r>
    </w:p>
    <w:p>
      <w:r>
        <w:rPr>
          <w:b/>
        </w:rPr>
        <w:t>E. 3</w:t>
      </w:r>
    </w:p>
    <w:p>
      <w:r>
        <w:t>Nach dem Gesagten ist die Beschwerde abzuweisen. Ausgangsgemäss sind die Gerichtskosten den Beschwerdeführenden unter solidarischer Haftung aufzuerlegen (§ 65a Abs. 2 in Verbindung mit § 13 Abs. 2 und 14 VRG). Eine Parteientschädigung haben sie nicht verlangt und stünde ihnen mangels Obsiegens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