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VB.2024.00077 vom 21. Juni 2022</w:t>
      </w:r>
    </w:p>
    <w:p>
      <w:r>
        <w:t>ZH Verwaltungsgericht, 2022-06-21, DE</w:t>
      </w:r>
    </w:p>
    <w:p>
      <w:r>
        <w:rPr>
          <w:b/>
        </w:rPr>
        <w:t xml:space="preserve">Quelle: </w:t>
      </w:r>
      <w:r>
        <w:t>https://mcp.opencaselaw.ch/entscheid/zh_verwaltungsgericht__VB.2024.00077</w:t>
      </w:r>
    </w:p>
    <w:p>
      <w:r>
        <w:t>FR: ZH_VERWALTUNGSGERICHT VB.2024.00077 du 21 juin 2022</w:t>
      </w:r>
    </w:p>
    <w:p>
      <w:r>
        <w:t>IT: ZH_VERWALTUNGSGERICHT VB.2024.00077 del 21 giugno 2022</w:t>
      </w:r>
    </w:p>
    <w:p>
      <w:pPr>
        <w:pStyle w:val="Heading2"/>
      </w:pPr>
      <w:r>
        <w:t>Regeste</w:t>
      </w:r>
    </w:p>
    <w:p>
      <w:r>
        <w:t>fehlendes Rechtsdomizil | [Löschung eines Einzelunternehmens im Handelsregister wegen fehlenden Rechtsdomizils] Die streitbetroffene Verfügung ist durch Wiedererwägung nachträglich weggefallen. Damit wird das Beschwerdeverfahren gegenstandslos (E. 2). Abschreibung des Verfahrens infolge Gegenstandslosigkeit.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im nachstehenden Urteilsdispositiv ist Folgendes zu erläutern: Öffentlich-rechtliche Entscheide, die in unmittelbarem Zusammenhang mit dem Zivilrecht stehen, unterliegen der Beschwerde in Zivilsachen. Dazu zählen insbesondere auch Entscheide über die Führung des Handelsregisters (Art. 72 Abs. 2 lit. b Ziff. 2 des Bundesgerichtsgesetzes vom 17. Juni 2005 [BGG, SR 173.110]). Da der Streitwert Fr. 30'000.- übersteigt (vgl. vorn E. 1.2), ist insofern auf das ordentliche Rechtsmittel nach Art. 72 ff. BGG zu verweisen (Art. 74 Abs. 1 lit. b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