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VB.2024.00074 vom 4. März 2024</w:t>
      </w:r>
    </w:p>
    <w:p>
      <w:r>
        <w:t>ZH Verwaltungsgericht, 2024-03-04, DE</w:t>
      </w:r>
    </w:p>
    <w:p>
      <w:r>
        <w:rPr>
          <w:b/>
        </w:rPr>
        <w:t xml:space="preserve">Quelle: </w:t>
      </w:r>
      <w:r>
        <w:t>https://mcp.opencaselaw.ch/entscheid/zh_verwaltungsgericht__VB.2024.00074</w:t>
      </w:r>
    </w:p>
    <w:p>
      <w:r>
        <w:t>FR: ZH_VERWALTUNGSGERICHT VB.2024.00074 du 4 mars 2024</w:t>
      </w:r>
    </w:p>
    <w:p>
      <w:r>
        <w:t>IT: ZH_VERWALTUNGSGERICHT VB.2024.00074 del 4 marzo 2024</w:t>
      </w:r>
    </w:p>
    <w:p>
      <w:pPr>
        <w:pStyle w:val="Heading2"/>
      </w:pPr>
      <w:r>
        <w:t>Regeste</w:t>
      </w:r>
    </w:p>
    <w:p>
      <w:r>
        <w:t>Administrativuntersuchung | Die Beschwerdeführerin strebt mit dem vorliegenden Verfahren eine unabhängige Beurteilung der in einem aufsichtsrechtlichen Verfahren vor der Bildungsdirektion gegenüber der Beschwerdegegnerin und dem MAB erhobenen Vorwürfe durch das Verwaltungsgericht an. Das Verwaltungsgericht ist jedoch nicht (Ober-)Aufsichtsbehörde über die Beschwerdegegnerin, das MAB oder die Bildungsdirektion und entsprechend nicht für eine unabhängige aufsichtsrechtliche Beurteilung der diesen gegenüber erhobenen Rügen der Beschwerdeführerin zuständig (E. 2). Nichteintreten.</w:t>
      </w:r>
    </w:p>
    <w:p>
      <w:pPr>
        <w:pStyle w:val="Heading2"/>
      </w:pPr>
      <w:r>
        <w:t>Erwägungen</w:t>
      </w:r>
    </w:p>
    <w:p>
      <w:r>
        <w:rPr>
          <w:b/>
        </w:rPr>
        <w:t>E. 4</w:t>
      </w:r>
    </w:p>
    <w:p>
      <w:r>
        <w:t>Die Verfahrenskosten sind umständehalber auf die Gerichtskasse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